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numPr>
          <w:ilvl w:val="1"/>
          <w:numId w:val="0"/>
        </w:numPr>
        <w:spacing w:beforeLines="0" w:afterLines="0" w:line="500" w:lineRule="exact"/>
        <w:jc w:val="left"/>
        <w:rPr>
          <w:rFonts w:hint="eastAsia" w:hAnsi="黑体" w:eastAsia="黑体" w:cs="黑体"/>
          <w:bCs/>
          <w:sz w:val="32"/>
          <w:szCs w:val="32"/>
          <w:lang w:val="en-US" w:eastAsia="zh-CN"/>
        </w:rPr>
      </w:pPr>
      <w:r>
        <w:rPr>
          <w:rFonts w:hint="eastAsia" w:hAnsi="黑体" w:cs="黑体"/>
          <w:bCs/>
          <w:sz w:val="32"/>
          <w:szCs w:val="32"/>
        </w:rPr>
        <w:t>附件</w:t>
      </w:r>
      <w:r>
        <w:rPr>
          <w:rFonts w:hint="eastAsia" w:hAnsi="黑体" w:cs="黑体"/>
          <w:bCs/>
          <w:sz w:val="32"/>
          <w:szCs w:val="32"/>
          <w:lang w:val="en-US" w:eastAsia="zh-CN"/>
        </w:rPr>
        <w:t>7</w:t>
      </w:r>
    </w:p>
    <w:p>
      <w:pPr>
        <w:pStyle w:val="8"/>
      </w:pPr>
    </w:p>
    <w:p>
      <w:pPr>
        <w:keepNext w:val="0"/>
        <w:keepLines w:val="0"/>
        <w:pageBreakBefore w:val="0"/>
        <w:widowControl w:val="0"/>
        <w:numPr>
          <w:ilvl w:val="1"/>
          <w:numId w:val="0"/>
        </w:numPr>
        <w:kinsoku/>
        <w:wordWrap/>
        <w:overflowPunct/>
        <w:topLinePunct w:val="0"/>
        <w:autoSpaceDE/>
        <w:autoSpaceDN/>
        <w:bidi w:val="0"/>
        <w:adjustRightInd/>
        <w:snapToGrid/>
        <w:spacing w:line="500" w:lineRule="exact"/>
        <w:jc w:val="center"/>
        <w:textAlignment w:val="auto"/>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现场操作考核评价指引表</w:t>
      </w:r>
    </w:p>
    <w:p>
      <w:pPr>
        <w:numPr>
          <w:ilvl w:val="1"/>
          <w:numId w:val="0"/>
        </w:numPr>
        <w:spacing w:line="440" w:lineRule="exact"/>
        <w:jc w:val="center"/>
      </w:pPr>
    </w:p>
    <w:tbl>
      <w:tblPr>
        <w:tblStyle w:val="5"/>
        <w:tblW w:w="1526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673"/>
        <w:gridCol w:w="694"/>
        <w:gridCol w:w="4254"/>
        <w:gridCol w:w="864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2" w:hRule="atLeast"/>
          <w:tblHeader/>
          <w:jc w:val="center"/>
        </w:trPr>
        <w:tc>
          <w:tcPr>
            <w:tcW w:w="1673" w:type="dxa"/>
            <w:tcBorders>
              <w:top w:val="single" w:color="auto" w:sz="8" w:space="0"/>
              <w:bottom w:val="single" w:color="auto" w:sz="8" w:space="0"/>
            </w:tcBorders>
            <w:shd w:val="clear" w:color="auto" w:fill="auto"/>
            <w:vAlign w:val="center"/>
          </w:tcPr>
          <w:p>
            <w:pPr>
              <w:spacing w:line="294" w:lineRule="exact"/>
              <w:jc w:val="center"/>
              <w:rPr>
                <w:rFonts w:ascii="仿宋_GB2312" w:hAnsi="仿宋_GB2312" w:eastAsia="仿宋_GB2312" w:cs="仿宋_GB2312"/>
                <w:b/>
                <w:sz w:val="24"/>
              </w:rPr>
            </w:pPr>
            <w:r>
              <w:rPr>
                <w:rFonts w:hint="eastAsia" w:ascii="仿宋_GB2312" w:hAnsi="仿宋_GB2312" w:eastAsia="仿宋_GB2312" w:cs="仿宋_GB2312"/>
                <w:b/>
                <w:sz w:val="24"/>
              </w:rPr>
              <w:t>考核项目</w:t>
            </w:r>
          </w:p>
        </w:tc>
        <w:tc>
          <w:tcPr>
            <w:tcW w:w="4948" w:type="dxa"/>
            <w:gridSpan w:val="2"/>
            <w:tcBorders>
              <w:top w:val="single" w:color="auto" w:sz="8" w:space="0"/>
              <w:bottom w:val="single" w:color="auto" w:sz="8" w:space="0"/>
            </w:tcBorders>
            <w:shd w:val="clear" w:color="auto" w:fill="auto"/>
            <w:vAlign w:val="center"/>
          </w:tcPr>
          <w:p>
            <w:pPr>
              <w:spacing w:line="294" w:lineRule="exact"/>
              <w:jc w:val="center"/>
              <w:rPr>
                <w:rFonts w:ascii="仿宋_GB2312" w:hAnsi="仿宋_GB2312" w:eastAsia="仿宋_GB2312" w:cs="仿宋_GB2312"/>
                <w:b/>
                <w:sz w:val="24"/>
              </w:rPr>
            </w:pPr>
            <w:r>
              <w:rPr>
                <w:rFonts w:hint="eastAsia" w:ascii="仿宋_GB2312" w:hAnsi="仿宋_GB2312" w:eastAsia="仿宋_GB2312" w:cs="仿宋_GB2312"/>
                <w:b/>
                <w:sz w:val="24"/>
              </w:rPr>
              <w:t>考核内容及评分</w:t>
            </w:r>
          </w:p>
        </w:tc>
        <w:tc>
          <w:tcPr>
            <w:tcW w:w="8640" w:type="dxa"/>
            <w:tcBorders>
              <w:top w:val="single" w:color="auto" w:sz="8" w:space="0"/>
              <w:bottom w:val="single" w:color="auto" w:sz="8" w:space="0"/>
            </w:tcBorders>
            <w:shd w:val="clear" w:color="auto" w:fill="auto"/>
            <w:vAlign w:val="center"/>
          </w:tcPr>
          <w:p>
            <w:pPr>
              <w:spacing w:line="294" w:lineRule="exact"/>
              <w:jc w:val="center"/>
              <w:rPr>
                <w:rFonts w:ascii="仿宋_GB2312" w:hAnsi="仿宋_GB2312" w:eastAsia="仿宋_GB2312" w:cs="仿宋_GB2312"/>
                <w:b/>
                <w:sz w:val="24"/>
              </w:rPr>
            </w:pPr>
            <w:r>
              <w:rPr>
                <w:rFonts w:hint="eastAsia" w:ascii="仿宋_GB2312" w:hAnsi="仿宋_GB2312" w:eastAsia="仿宋_GB2312" w:cs="仿宋_GB2312"/>
                <w:b/>
                <w:sz w:val="24"/>
              </w:rPr>
              <w:t>评价指引</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1673" w:type="dxa"/>
            <w:vMerge w:val="restart"/>
            <w:tcBorders>
              <w:top w:val="single" w:color="auto" w:sz="8" w:space="0"/>
            </w:tcBorders>
            <w:shd w:val="clear" w:color="auto" w:fill="auto"/>
            <w:vAlign w:val="center"/>
          </w:tcPr>
          <w:p>
            <w:pPr>
              <w:spacing w:line="294" w:lineRule="exact"/>
              <w:jc w:val="center"/>
              <w:rPr>
                <w:rFonts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一、安全防护</w:t>
            </w:r>
          </w:p>
        </w:tc>
        <w:tc>
          <w:tcPr>
            <w:tcW w:w="694" w:type="dxa"/>
            <w:tcBorders>
              <w:top w:val="single" w:color="auto" w:sz="8" w:space="0"/>
            </w:tcBorders>
            <w:shd w:val="clear" w:color="auto" w:fill="auto"/>
            <w:vAlign w:val="center"/>
          </w:tcPr>
          <w:p>
            <w:pPr>
              <w:spacing w:line="294" w:lineRule="exact"/>
              <w:jc w:val="center"/>
              <w:rPr>
                <w:rFonts w:ascii="仿宋_GB2312" w:hAnsi="仿宋_GB2312" w:eastAsia="仿宋_GB2312" w:cs="仿宋_GB2312"/>
                <w:sz w:val="24"/>
              </w:rPr>
            </w:pPr>
            <w:r>
              <w:rPr>
                <w:rFonts w:hint="eastAsia" w:ascii="仿宋_GB2312" w:hAnsi="仿宋_GB2312" w:eastAsia="仿宋_GB2312" w:cs="仿宋_GB2312"/>
                <w:sz w:val="24"/>
              </w:rPr>
              <w:t>1.1</w:t>
            </w:r>
          </w:p>
        </w:tc>
        <w:tc>
          <w:tcPr>
            <w:tcW w:w="4254" w:type="dxa"/>
            <w:tcBorders>
              <w:top w:val="single" w:color="auto" w:sz="8" w:space="0"/>
            </w:tcBorders>
            <w:shd w:val="clear" w:color="auto" w:fill="auto"/>
            <w:vAlign w:val="center"/>
          </w:tcPr>
          <w:p>
            <w:pPr>
              <w:spacing w:line="294" w:lineRule="exact"/>
              <w:rPr>
                <w:rFonts w:ascii="仿宋_GB2312" w:hAnsi="仿宋_GB2312" w:eastAsia="仿宋_GB2312" w:cs="仿宋_GB2312"/>
                <w:bCs/>
                <w:sz w:val="24"/>
              </w:rPr>
            </w:pPr>
            <w:r>
              <w:rPr>
                <w:rFonts w:hint="eastAsia" w:ascii="仿宋_GB2312" w:hAnsi="仿宋_GB2312" w:eastAsia="仿宋_GB2312" w:cs="仿宋_GB2312"/>
                <w:bCs/>
                <w:sz w:val="24"/>
              </w:rPr>
              <w:t>正确使用安全防护用具，合理布置警示标识（甲级3分/乙级4分）</w:t>
            </w:r>
          </w:p>
        </w:tc>
        <w:tc>
          <w:tcPr>
            <w:tcW w:w="8640" w:type="dxa"/>
            <w:tcBorders>
              <w:top w:val="single" w:color="auto" w:sz="8" w:space="0"/>
            </w:tcBorders>
            <w:shd w:val="clear" w:color="auto" w:fill="auto"/>
            <w:vAlign w:val="center"/>
          </w:tcPr>
          <w:p>
            <w:pPr>
              <w:numPr>
                <w:ilvl w:val="0"/>
                <w:numId w:val="4"/>
              </w:num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根据考核内容、考核场地环境要求佩戴相应的安全防护用具（专用工作服、安全帽、工作手套等）</w:t>
            </w:r>
          </w:p>
          <w:p>
            <w:pPr>
              <w:numPr>
                <w:ilvl w:val="0"/>
                <w:numId w:val="4"/>
              </w:num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根据需要穿戴防静电服、使用防爆设备</w:t>
            </w:r>
          </w:p>
          <w:p>
            <w:pPr>
              <w:numPr>
                <w:ilvl w:val="0"/>
                <w:numId w:val="4"/>
              </w:num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检测现场放置警戒牌、警戒线等警示标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1673" w:type="dxa"/>
            <w:vMerge w:val="continue"/>
            <w:shd w:val="clear" w:color="auto" w:fill="auto"/>
            <w:vAlign w:val="center"/>
          </w:tcPr>
          <w:p>
            <w:pPr>
              <w:spacing w:line="294" w:lineRule="exact"/>
              <w:jc w:val="center"/>
              <w:rPr>
                <w:rFonts w:ascii="仿宋_GB2312" w:hAnsi="仿宋_GB2312" w:eastAsia="仿宋_GB2312" w:cs="仿宋_GB2312"/>
                <w:b/>
                <w:bCs/>
                <w:color w:val="000000"/>
                <w:sz w:val="24"/>
              </w:rPr>
            </w:pPr>
          </w:p>
        </w:tc>
        <w:tc>
          <w:tcPr>
            <w:tcW w:w="694" w:type="dxa"/>
            <w:shd w:val="clear" w:color="auto" w:fill="auto"/>
            <w:vAlign w:val="center"/>
          </w:tcPr>
          <w:p>
            <w:pPr>
              <w:spacing w:line="294" w:lineRule="exact"/>
              <w:jc w:val="center"/>
              <w:rPr>
                <w:rFonts w:ascii="仿宋_GB2312" w:hAnsi="仿宋_GB2312" w:eastAsia="仿宋_GB2312" w:cs="仿宋_GB2312"/>
                <w:sz w:val="24"/>
              </w:rPr>
            </w:pPr>
            <w:r>
              <w:rPr>
                <w:rFonts w:hint="eastAsia" w:ascii="仿宋_GB2312" w:hAnsi="仿宋_GB2312" w:eastAsia="仿宋_GB2312" w:cs="仿宋_GB2312"/>
                <w:sz w:val="24"/>
              </w:rPr>
              <w:t>1.2</w:t>
            </w:r>
          </w:p>
        </w:tc>
        <w:tc>
          <w:tcPr>
            <w:tcW w:w="4254" w:type="dxa"/>
            <w:tcBorders>
              <w:top w:val="single" w:color="auto" w:sz="8" w:space="0"/>
            </w:tcBorders>
            <w:shd w:val="clear" w:color="auto" w:fill="auto"/>
            <w:vAlign w:val="center"/>
          </w:tcPr>
          <w:p>
            <w:pPr>
              <w:spacing w:line="294" w:lineRule="exact"/>
              <w:rPr>
                <w:rFonts w:ascii="仿宋_GB2312" w:hAnsi="仿宋_GB2312" w:eastAsia="仿宋_GB2312" w:cs="仿宋_GB2312"/>
                <w:bCs/>
                <w:sz w:val="24"/>
              </w:rPr>
            </w:pPr>
            <w:r>
              <w:rPr>
                <w:rFonts w:hint="eastAsia" w:ascii="仿宋_GB2312" w:hAnsi="仿宋_GB2312" w:eastAsia="仿宋_GB2312" w:cs="仿宋_GB2312"/>
                <w:bCs/>
                <w:sz w:val="24"/>
              </w:rPr>
              <w:t>遵守安全制度，符合安全作业要求</w:t>
            </w:r>
          </w:p>
          <w:p>
            <w:pPr>
              <w:spacing w:line="294" w:lineRule="exact"/>
              <w:rPr>
                <w:rFonts w:ascii="仿宋_GB2312" w:hAnsi="仿宋_GB2312" w:eastAsia="仿宋_GB2312" w:cs="仿宋_GB2312"/>
                <w:bCs/>
                <w:sz w:val="24"/>
              </w:rPr>
            </w:pPr>
            <w:r>
              <w:rPr>
                <w:rFonts w:hint="eastAsia" w:ascii="仿宋_GB2312" w:hAnsi="仿宋_GB2312" w:eastAsia="仿宋_GB2312" w:cs="仿宋_GB2312"/>
                <w:bCs/>
                <w:sz w:val="24"/>
              </w:rPr>
              <w:t>（甲级3分/乙级4分）</w:t>
            </w:r>
          </w:p>
        </w:tc>
        <w:tc>
          <w:tcPr>
            <w:tcW w:w="8640" w:type="dxa"/>
            <w:shd w:val="clear" w:color="auto" w:fill="auto"/>
            <w:vAlign w:val="center"/>
          </w:tcPr>
          <w:p>
            <w:pPr>
              <w:numPr>
                <w:ilvl w:val="0"/>
                <w:numId w:val="5"/>
              </w:num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检测组长进行安全作业交底</w:t>
            </w:r>
          </w:p>
          <w:p>
            <w:pPr>
              <w:numPr>
                <w:ilvl w:val="0"/>
                <w:numId w:val="5"/>
              </w:numPr>
              <w:spacing w:line="294" w:lineRule="exact"/>
              <w:ind w:left="421" w:leftChars="-30" w:right="-63" w:rightChars="-30" w:hanging="484" w:hangingChars="202"/>
              <w:jc w:val="left"/>
              <w:rPr>
                <w:rFonts w:ascii="仿宋_GB2312" w:hAnsi="仿宋_GB2312" w:eastAsia="仿宋_GB2312" w:cs="仿宋_GB2312"/>
                <w:sz w:val="24"/>
              </w:rPr>
            </w:pPr>
            <w:r>
              <w:rPr>
                <w:rFonts w:hint="eastAsia" w:ascii="仿宋_GB2312" w:hAnsi="仿宋_GB2312" w:eastAsia="仿宋_GB2312" w:cs="仿宋_GB2312"/>
                <w:sz w:val="24"/>
              </w:rPr>
              <w:t>遵守受检单位及其他相关安全制度</w:t>
            </w:r>
          </w:p>
          <w:p>
            <w:pPr>
              <w:numPr>
                <w:ilvl w:val="0"/>
                <w:numId w:val="5"/>
              </w:num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符合安全《防雷装置检测服务规范》GB/T 32938-2016 附录C规定的检测人员安全作业操作规程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1673" w:type="dxa"/>
            <w:vMerge w:val="restart"/>
            <w:tcBorders>
              <w:top w:val="single" w:color="auto" w:sz="8" w:space="0"/>
            </w:tcBorders>
            <w:shd w:val="clear" w:color="auto" w:fill="auto"/>
            <w:vAlign w:val="center"/>
          </w:tcPr>
          <w:p>
            <w:pPr>
              <w:spacing w:line="294"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二、仪器设备</w:t>
            </w:r>
          </w:p>
        </w:tc>
        <w:tc>
          <w:tcPr>
            <w:tcW w:w="694" w:type="dxa"/>
            <w:tcBorders>
              <w:top w:val="single" w:color="auto" w:sz="8" w:space="0"/>
            </w:tcBorders>
            <w:shd w:val="clear" w:color="auto" w:fill="auto"/>
            <w:vAlign w:val="center"/>
          </w:tcPr>
          <w:p>
            <w:pPr>
              <w:spacing w:line="294" w:lineRule="exact"/>
              <w:jc w:val="center"/>
              <w:rPr>
                <w:rFonts w:ascii="仿宋_GB2312" w:hAnsi="仿宋_GB2312" w:eastAsia="仿宋_GB2312" w:cs="仿宋_GB2312"/>
                <w:sz w:val="24"/>
              </w:rPr>
            </w:pPr>
            <w:r>
              <w:rPr>
                <w:rFonts w:hint="eastAsia" w:ascii="仿宋_GB2312" w:hAnsi="仿宋_GB2312" w:eastAsia="仿宋_GB2312" w:cs="仿宋_GB2312"/>
                <w:sz w:val="24"/>
              </w:rPr>
              <w:t>2.1</w:t>
            </w:r>
          </w:p>
        </w:tc>
        <w:tc>
          <w:tcPr>
            <w:tcW w:w="4254" w:type="dxa"/>
            <w:tcBorders>
              <w:top w:val="single" w:color="auto" w:sz="8" w:space="0"/>
            </w:tcBorders>
            <w:shd w:val="clear" w:color="auto" w:fill="auto"/>
            <w:vAlign w:val="center"/>
          </w:tcPr>
          <w:p>
            <w:pPr>
              <w:spacing w:line="294" w:lineRule="exact"/>
              <w:rPr>
                <w:rFonts w:ascii="仿宋_GB2312" w:hAnsi="仿宋_GB2312" w:eastAsia="仿宋_GB2312" w:cs="仿宋_GB2312"/>
                <w:bCs/>
                <w:sz w:val="24"/>
              </w:rPr>
            </w:pPr>
            <w:r>
              <w:rPr>
                <w:rFonts w:hint="eastAsia" w:ascii="仿宋_GB2312" w:hAnsi="仿宋_GB2312" w:eastAsia="仿宋_GB2312" w:cs="仿宋_GB2312"/>
                <w:bCs/>
                <w:sz w:val="24"/>
              </w:rPr>
              <w:t>仪器设备种类、性能满足检测要求</w:t>
            </w:r>
          </w:p>
          <w:p>
            <w:pPr>
              <w:spacing w:line="294" w:lineRule="exact"/>
              <w:rPr>
                <w:rFonts w:ascii="仿宋_GB2312" w:hAnsi="仿宋_GB2312" w:eastAsia="仿宋_GB2312" w:cs="仿宋_GB2312"/>
                <w:bCs/>
                <w:sz w:val="24"/>
              </w:rPr>
            </w:pPr>
            <w:r>
              <w:rPr>
                <w:rFonts w:hint="eastAsia" w:ascii="仿宋_GB2312" w:hAnsi="仿宋_GB2312" w:eastAsia="仿宋_GB2312" w:cs="仿宋_GB2312"/>
                <w:bCs/>
                <w:sz w:val="24"/>
              </w:rPr>
              <w:t>（甲级3分/乙级4分）</w:t>
            </w:r>
          </w:p>
        </w:tc>
        <w:tc>
          <w:tcPr>
            <w:tcW w:w="8640" w:type="dxa"/>
            <w:shd w:val="clear" w:color="auto" w:fill="auto"/>
            <w:vAlign w:val="center"/>
          </w:tcPr>
          <w:p>
            <w:pPr>
              <w:spacing w:line="294" w:lineRule="exact"/>
              <w:rPr>
                <w:rFonts w:ascii="仿宋_GB2312" w:hAnsi="仿宋_GB2312" w:eastAsia="仿宋_GB2312" w:cs="仿宋_GB2312"/>
                <w:sz w:val="24"/>
              </w:rPr>
            </w:pPr>
            <w:r>
              <w:rPr>
                <w:rFonts w:hint="eastAsia" w:ascii="仿宋_GB2312" w:hAnsi="仿宋_GB2312" w:eastAsia="仿宋_GB2312" w:cs="仿宋_GB2312"/>
                <w:sz w:val="24"/>
              </w:rPr>
              <w:t>仪器种类满足检测要求，至少包括接地电阻测试仪、等电位测试仪、SPD测试仪、游标卡尺、拉力计、卷尺、大地网测试仪（甲级）、检测线，且性能满足31号令的要求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1673" w:type="dxa"/>
            <w:vMerge w:val="continue"/>
            <w:shd w:val="clear" w:color="auto" w:fill="auto"/>
            <w:vAlign w:val="center"/>
          </w:tcPr>
          <w:p>
            <w:pPr>
              <w:spacing w:line="294" w:lineRule="exact"/>
              <w:jc w:val="center"/>
              <w:rPr>
                <w:rFonts w:ascii="仿宋_GB2312" w:hAnsi="仿宋_GB2312" w:eastAsia="仿宋_GB2312" w:cs="仿宋_GB2312"/>
                <w:sz w:val="24"/>
              </w:rPr>
            </w:pPr>
          </w:p>
        </w:tc>
        <w:tc>
          <w:tcPr>
            <w:tcW w:w="694" w:type="dxa"/>
            <w:shd w:val="clear" w:color="auto" w:fill="auto"/>
            <w:vAlign w:val="center"/>
          </w:tcPr>
          <w:p>
            <w:pPr>
              <w:spacing w:line="294" w:lineRule="exact"/>
              <w:jc w:val="center"/>
              <w:rPr>
                <w:rFonts w:ascii="仿宋_GB2312" w:hAnsi="仿宋_GB2312" w:eastAsia="仿宋_GB2312" w:cs="仿宋_GB2312"/>
                <w:sz w:val="24"/>
              </w:rPr>
            </w:pPr>
            <w:r>
              <w:rPr>
                <w:rFonts w:hint="eastAsia" w:ascii="仿宋_GB2312" w:hAnsi="仿宋_GB2312" w:eastAsia="仿宋_GB2312" w:cs="仿宋_GB2312"/>
                <w:sz w:val="24"/>
              </w:rPr>
              <w:t>2.2</w:t>
            </w:r>
          </w:p>
        </w:tc>
        <w:tc>
          <w:tcPr>
            <w:tcW w:w="4254" w:type="dxa"/>
            <w:tcBorders>
              <w:top w:val="single" w:color="auto" w:sz="8" w:space="0"/>
            </w:tcBorders>
            <w:shd w:val="clear" w:color="auto" w:fill="auto"/>
            <w:vAlign w:val="center"/>
          </w:tcPr>
          <w:p>
            <w:pPr>
              <w:spacing w:line="294" w:lineRule="exact"/>
              <w:rPr>
                <w:rFonts w:ascii="仿宋_GB2312" w:hAnsi="仿宋_GB2312" w:eastAsia="仿宋_GB2312" w:cs="仿宋_GB2312"/>
                <w:bCs/>
                <w:sz w:val="24"/>
              </w:rPr>
            </w:pPr>
            <w:r>
              <w:rPr>
                <w:rFonts w:hint="eastAsia" w:ascii="仿宋_GB2312" w:hAnsi="仿宋_GB2312" w:eastAsia="仿宋_GB2312" w:cs="仿宋_GB2312"/>
                <w:bCs/>
                <w:sz w:val="24"/>
              </w:rPr>
              <w:t>仪器设备状态良好，标识齐全</w:t>
            </w:r>
          </w:p>
          <w:p>
            <w:pPr>
              <w:spacing w:line="294" w:lineRule="exact"/>
              <w:rPr>
                <w:rFonts w:ascii="仿宋_GB2312" w:hAnsi="仿宋_GB2312" w:eastAsia="仿宋_GB2312" w:cs="仿宋_GB2312"/>
                <w:bCs/>
                <w:sz w:val="24"/>
              </w:rPr>
            </w:pPr>
            <w:r>
              <w:rPr>
                <w:rFonts w:hint="eastAsia" w:ascii="仿宋_GB2312" w:hAnsi="仿宋_GB2312" w:eastAsia="仿宋_GB2312" w:cs="仿宋_GB2312"/>
                <w:bCs/>
                <w:sz w:val="24"/>
              </w:rPr>
              <w:t>（甲级3分/乙级4分）</w:t>
            </w:r>
          </w:p>
        </w:tc>
        <w:tc>
          <w:tcPr>
            <w:tcW w:w="8640" w:type="dxa"/>
            <w:shd w:val="clear" w:color="auto" w:fill="auto"/>
            <w:vAlign w:val="center"/>
          </w:tcPr>
          <w:p>
            <w:pPr>
              <w:spacing w:line="294" w:lineRule="exact"/>
              <w:rPr>
                <w:rFonts w:ascii="仿宋_GB2312" w:hAnsi="仿宋_GB2312" w:eastAsia="仿宋_GB2312" w:cs="仿宋_GB2312"/>
                <w:sz w:val="24"/>
              </w:rPr>
            </w:pPr>
            <w:r>
              <w:rPr>
                <w:rFonts w:hint="eastAsia" w:ascii="仿宋_GB2312" w:hAnsi="仿宋_GB2312" w:eastAsia="仿宋_GB2312" w:cs="仿宋_GB2312"/>
                <w:sz w:val="24"/>
              </w:rPr>
              <w:t>仪器设备经</w:t>
            </w:r>
            <w:bookmarkStart w:id="0" w:name="_GoBack"/>
            <w:bookmarkEnd w:id="0"/>
            <w:r>
              <w:rPr>
                <w:rFonts w:hint="eastAsia" w:ascii="仿宋_GB2312" w:hAnsi="仿宋_GB2312" w:eastAsia="仿宋_GB2312" w:cs="仿宋_GB2312"/>
                <w:sz w:val="24"/>
              </w:rPr>
              <w:t>过检定或校准，标识齐全，电量充足，仪器自检良好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1673" w:type="dxa"/>
            <w:vMerge w:val="restart"/>
            <w:shd w:val="clear" w:color="auto" w:fill="auto"/>
            <w:vAlign w:val="center"/>
          </w:tcPr>
          <w:p>
            <w:pPr>
              <w:spacing w:line="294"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三、建筑物防雷装置检测</w:t>
            </w:r>
          </w:p>
        </w:tc>
        <w:tc>
          <w:tcPr>
            <w:tcW w:w="694" w:type="dxa"/>
            <w:tcBorders>
              <w:top w:val="single" w:color="auto" w:sz="8" w:space="0"/>
            </w:tcBorders>
            <w:shd w:val="clear" w:color="auto" w:fill="auto"/>
            <w:vAlign w:val="center"/>
          </w:tcPr>
          <w:p>
            <w:pPr>
              <w:spacing w:line="294" w:lineRule="exact"/>
              <w:jc w:val="center"/>
              <w:rPr>
                <w:rFonts w:ascii="仿宋_GB2312" w:hAnsi="仿宋_GB2312" w:eastAsia="仿宋_GB2312" w:cs="仿宋_GB2312"/>
                <w:sz w:val="24"/>
              </w:rPr>
            </w:pPr>
            <w:r>
              <w:rPr>
                <w:rFonts w:hint="eastAsia" w:ascii="仿宋_GB2312" w:hAnsi="仿宋_GB2312" w:eastAsia="仿宋_GB2312" w:cs="仿宋_GB2312"/>
                <w:sz w:val="24"/>
              </w:rPr>
              <w:t>3.1</w:t>
            </w:r>
          </w:p>
        </w:tc>
        <w:tc>
          <w:tcPr>
            <w:tcW w:w="4254" w:type="dxa"/>
            <w:tcBorders>
              <w:top w:val="single" w:color="auto" w:sz="8" w:space="0"/>
            </w:tcBorders>
            <w:shd w:val="clear" w:color="auto" w:fill="auto"/>
            <w:vAlign w:val="center"/>
          </w:tcPr>
          <w:p>
            <w:pPr>
              <w:spacing w:line="294" w:lineRule="exact"/>
              <w:rPr>
                <w:rFonts w:ascii="仿宋_GB2312" w:hAnsi="仿宋_GB2312" w:eastAsia="仿宋_GB2312" w:cs="仿宋_GB2312"/>
                <w:bCs/>
                <w:sz w:val="24"/>
              </w:rPr>
            </w:pPr>
            <w:r>
              <w:rPr>
                <w:rFonts w:hint="eastAsia" w:ascii="仿宋_GB2312" w:hAnsi="仿宋_GB2312" w:eastAsia="仿宋_GB2312" w:cs="仿宋_GB2312"/>
                <w:bCs/>
                <w:sz w:val="24"/>
              </w:rPr>
              <w:t>合理制定检测方案，团队分工协作顺畅</w:t>
            </w:r>
          </w:p>
          <w:p>
            <w:pPr>
              <w:spacing w:line="294" w:lineRule="exact"/>
              <w:rPr>
                <w:rFonts w:ascii="仿宋_GB2312" w:hAnsi="仿宋_GB2312" w:eastAsia="仿宋_GB2312" w:cs="仿宋_GB2312"/>
                <w:bCs/>
                <w:sz w:val="24"/>
              </w:rPr>
            </w:pPr>
            <w:r>
              <w:rPr>
                <w:rFonts w:hint="eastAsia" w:ascii="仿宋_GB2312" w:hAnsi="仿宋_GB2312" w:eastAsia="仿宋_GB2312" w:cs="仿宋_GB2312"/>
                <w:bCs/>
                <w:sz w:val="24"/>
              </w:rPr>
              <w:t>（甲级4分/乙级5分）</w:t>
            </w:r>
          </w:p>
        </w:tc>
        <w:tc>
          <w:tcPr>
            <w:tcW w:w="8640" w:type="dxa"/>
            <w:shd w:val="clear" w:color="auto" w:fill="auto"/>
            <w:vAlign w:val="center"/>
          </w:tcPr>
          <w:p>
            <w:pPr>
              <w:numPr>
                <w:ilvl w:val="0"/>
                <w:numId w:val="6"/>
              </w:num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组长介绍检测方案，检测思路清晰，方案完整，并按方案系统完成检测</w:t>
            </w:r>
          </w:p>
          <w:p>
            <w:pPr>
              <w:numPr>
                <w:ilvl w:val="0"/>
                <w:numId w:val="6"/>
              </w:num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组长进行合理分工</w:t>
            </w:r>
          </w:p>
          <w:p>
            <w:pPr>
              <w:numPr>
                <w:ilvl w:val="0"/>
                <w:numId w:val="6"/>
              </w:num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团队沟通顺畅、有效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1673" w:type="dxa"/>
            <w:vMerge w:val="continue"/>
            <w:shd w:val="clear" w:color="auto" w:fill="auto"/>
            <w:vAlign w:val="center"/>
          </w:tcPr>
          <w:p>
            <w:pPr>
              <w:spacing w:line="294" w:lineRule="exact"/>
              <w:jc w:val="center"/>
              <w:rPr>
                <w:rFonts w:ascii="仿宋_GB2312" w:hAnsi="仿宋_GB2312" w:eastAsia="仿宋_GB2312" w:cs="仿宋_GB2312"/>
                <w:b/>
                <w:bCs/>
                <w:sz w:val="24"/>
              </w:rPr>
            </w:pPr>
          </w:p>
        </w:tc>
        <w:tc>
          <w:tcPr>
            <w:tcW w:w="694" w:type="dxa"/>
            <w:tcBorders>
              <w:top w:val="single" w:color="auto" w:sz="8" w:space="0"/>
            </w:tcBorders>
            <w:shd w:val="clear" w:color="auto" w:fill="auto"/>
            <w:vAlign w:val="center"/>
          </w:tcPr>
          <w:p>
            <w:pPr>
              <w:spacing w:line="294" w:lineRule="exact"/>
              <w:jc w:val="center"/>
              <w:rPr>
                <w:rFonts w:ascii="仿宋_GB2312" w:hAnsi="仿宋_GB2312" w:eastAsia="仿宋_GB2312" w:cs="仿宋_GB2312"/>
                <w:sz w:val="24"/>
              </w:rPr>
            </w:pPr>
            <w:r>
              <w:rPr>
                <w:rFonts w:hint="eastAsia" w:ascii="仿宋_GB2312" w:hAnsi="仿宋_GB2312" w:eastAsia="仿宋_GB2312" w:cs="仿宋_GB2312"/>
                <w:sz w:val="24"/>
              </w:rPr>
              <w:t>3.2</w:t>
            </w:r>
          </w:p>
        </w:tc>
        <w:tc>
          <w:tcPr>
            <w:tcW w:w="4254" w:type="dxa"/>
            <w:tcBorders>
              <w:top w:val="single" w:color="auto" w:sz="8" w:space="0"/>
            </w:tcBorders>
            <w:shd w:val="clear" w:color="auto" w:fill="auto"/>
            <w:vAlign w:val="center"/>
          </w:tcPr>
          <w:p>
            <w:pPr>
              <w:spacing w:line="294" w:lineRule="exact"/>
              <w:rPr>
                <w:rFonts w:ascii="黑体" w:hAnsi="黑体" w:eastAsia="黑体" w:cs="黑体"/>
                <w:bCs/>
                <w:sz w:val="24"/>
              </w:rPr>
            </w:pPr>
            <w:r>
              <w:rPr>
                <w:rFonts w:hint="eastAsia" w:ascii="黑体" w:hAnsi="黑体" w:eastAsia="黑体" w:cs="黑体"/>
                <w:bCs/>
                <w:sz w:val="24"/>
              </w:rPr>
              <w:t>*正确对接闪器相关参数进行检测</w:t>
            </w:r>
          </w:p>
          <w:p>
            <w:pPr>
              <w:spacing w:line="294" w:lineRule="exact"/>
              <w:rPr>
                <w:rFonts w:ascii="黑体" w:hAnsi="黑体" w:eastAsia="黑体" w:cs="黑体"/>
                <w:bCs/>
                <w:sz w:val="24"/>
              </w:rPr>
            </w:pPr>
            <w:r>
              <w:rPr>
                <w:rFonts w:hint="eastAsia" w:ascii="仿宋_GB2312" w:hAnsi="仿宋_GB2312" w:eastAsia="仿宋_GB2312" w:cs="仿宋_GB2312"/>
                <w:bCs/>
                <w:sz w:val="24"/>
              </w:rPr>
              <w:t>（甲级5分/乙级6分）</w:t>
            </w:r>
          </w:p>
        </w:tc>
        <w:tc>
          <w:tcPr>
            <w:tcW w:w="8640" w:type="dxa"/>
            <w:shd w:val="clear" w:color="auto" w:fill="auto"/>
            <w:vAlign w:val="center"/>
          </w:tcPr>
          <w:p>
            <w:pPr>
              <w:numPr>
                <w:ilvl w:val="0"/>
                <w:numId w:val="7"/>
              </w:num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检查接闪器类型、使用材料、安装位置、保护范围、外观、焊接质量、锈蚀状况及附着电气线路情况等</w:t>
            </w:r>
          </w:p>
          <w:p>
            <w:pPr>
              <w:numPr>
                <w:ilvl w:val="0"/>
                <w:numId w:val="7"/>
              </w:num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测量接闪器规格、支架高度、支架间距、网格尺寸、支持件垂直拉力、焊接长度、与引下线电气连接等参数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673" w:type="dxa"/>
            <w:vMerge w:val="continue"/>
            <w:shd w:val="clear" w:color="auto" w:fill="auto"/>
            <w:vAlign w:val="center"/>
          </w:tcPr>
          <w:p>
            <w:pPr>
              <w:spacing w:line="294" w:lineRule="exact"/>
              <w:jc w:val="center"/>
              <w:rPr>
                <w:rFonts w:ascii="仿宋_GB2312" w:hAnsi="仿宋_GB2312" w:eastAsia="仿宋_GB2312" w:cs="仿宋_GB2312"/>
                <w:sz w:val="24"/>
              </w:rPr>
            </w:pPr>
          </w:p>
        </w:tc>
        <w:tc>
          <w:tcPr>
            <w:tcW w:w="694" w:type="dxa"/>
            <w:tcBorders>
              <w:top w:val="single" w:color="auto" w:sz="8" w:space="0"/>
            </w:tcBorders>
            <w:shd w:val="clear" w:color="auto" w:fill="auto"/>
            <w:vAlign w:val="center"/>
          </w:tcPr>
          <w:p>
            <w:pPr>
              <w:spacing w:line="294" w:lineRule="exact"/>
              <w:jc w:val="center"/>
              <w:rPr>
                <w:rFonts w:ascii="仿宋_GB2312" w:hAnsi="仿宋_GB2312" w:eastAsia="仿宋_GB2312" w:cs="仿宋_GB2312"/>
                <w:sz w:val="24"/>
              </w:rPr>
            </w:pPr>
            <w:r>
              <w:rPr>
                <w:rFonts w:hint="eastAsia" w:ascii="仿宋_GB2312" w:hAnsi="仿宋_GB2312" w:eastAsia="仿宋_GB2312" w:cs="仿宋_GB2312"/>
                <w:sz w:val="24"/>
              </w:rPr>
              <w:t>3.3</w:t>
            </w:r>
          </w:p>
        </w:tc>
        <w:tc>
          <w:tcPr>
            <w:tcW w:w="4254" w:type="dxa"/>
            <w:tcBorders>
              <w:top w:val="single" w:color="auto" w:sz="8" w:space="0"/>
            </w:tcBorders>
            <w:shd w:val="clear" w:color="auto" w:fill="auto"/>
            <w:vAlign w:val="center"/>
          </w:tcPr>
          <w:p>
            <w:pPr>
              <w:spacing w:line="294" w:lineRule="exact"/>
              <w:rPr>
                <w:rFonts w:ascii="黑体" w:hAnsi="黑体" w:eastAsia="黑体" w:cs="黑体"/>
                <w:bCs/>
                <w:sz w:val="24"/>
              </w:rPr>
            </w:pPr>
            <w:r>
              <w:rPr>
                <w:rFonts w:hint="eastAsia" w:ascii="黑体" w:hAnsi="黑体" w:eastAsia="黑体" w:cs="黑体"/>
                <w:bCs/>
                <w:sz w:val="24"/>
              </w:rPr>
              <w:t>*正确对引下线相关参数进行检测</w:t>
            </w:r>
          </w:p>
          <w:p>
            <w:pPr>
              <w:spacing w:line="294" w:lineRule="exact"/>
              <w:rPr>
                <w:rFonts w:ascii="黑体" w:hAnsi="黑体" w:eastAsia="黑体" w:cs="黑体"/>
                <w:bCs/>
                <w:sz w:val="24"/>
              </w:rPr>
            </w:pPr>
            <w:r>
              <w:rPr>
                <w:rFonts w:hint="eastAsia" w:ascii="仿宋_GB2312" w:hAnsi="仿宋_GB2312" w:eastAsia="仿宋_GB2312" w:cs="仿宋_GB2312"/>
                <w:bCs/>
                <w:sz w:val="24"/>
              </w:rPr>
              <w:t>（甲级5分/乙级6分）</w:t>
            </w:r>
          </w:p>
        </w:tc>
        <w:tc>
          <w:tcPr>
            <w:tcW w:w="8640" w:type="dxa"/>
            <w:shd w:val="clear" w:color="auto" w:fill="auto"/>
            <w:vAlign w:val="center"/>
          </w:tcPr>
          <w:p>
            <w:pPr>
              <w:numPr>
                <w:ilvl w:val="0"/>
                <w:numId w:val="8"/>
              </w:num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检查使用材料、敷设方式、外观、焊接质量、锈蚀状况、数量、专设引下线防机械损伤保护和防接触电压措施等</w:t>
            </w:r>
          </w:p>
          <w:p>
            <w:pPr>
              <w:numPr>
                <w:ilvl w:val="0"/>
                <w:numId w:val="8"/>
              </w:num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测量引下线规格、支持件垂直拉力、焊接长度，专设引下线间距、与电子线路安全距离、与出入口或人行道距离、与接闪器过渡电阻等参数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1673" w:type="dxa"/>
            <w:vMerge w:val="continue"/>
            <w:shd w:val="clear" w:color="auto" w:fill="auto"/>
            <w:vAlign w:val="center"/>
          </w:tcPr>
          <w:p>
            <w:pPr>
              <w:spacing w:line="294" w:lineRule="exact"/>
              <w:jc w:val="center"/>
              <w:rPr>
                <w:rFonts w:ascii="仿宋_GB2312" w:hAnsi="仿宋_GB2312" w:eastAsia="仿宋_GB2312" w:cs="仿宋_GB2312"/>
                <w:sz w:val="24"/>
              </w:rPr>
            </w:pPr>
          </w:p>
        </w:tc>
        <w:tc>
          <w:tcPr>
            <w:tcW w:w="694" w:type="dxa"/>
            <w:tcBorders>
              <w:top w:val="single" w:color="auto" w:sz="8" w:space="0"/>
            </w:tcBorders>
            <w:shd w:val="clear" w:color="auto" w:fill="auto"/>
            <w:vAlign w:val="center"/>
          </w:tcPr>
          <w:p>
            <w:pPr>
              <w:spacing w:line="294" w:lineRule="exact"/>
              <w:jc w:val="center"/>
              <w:rPr>
                <w:rFonts w:ascii="仿宋_GB2312" w:hAnsi="仿宋_GB2312" w:eastAsia="仿宋_GB2312" w:cs="仿宋_GB2312"/>
                <w:sz w:val="24"/>
              </w:rPr>
            </w:pPr>
            <w:r>
              <w:rPr>
                <w:rFonts w:hint="eastAsia" w:ascii="仿宋_GB2312" w:hAnsi="仿宋_GB2312" w:eastAsia="仿宋_GB2312" w:cs="仿宋_GB2312"/>
                <w:sz w:val="24"/>
              </w:rPr>
              <w:t>3.4</w:t>
            </w:r>
          </w:p>
        </w:tc>
        <w:tc>
          <w:tcPr>
            <w:tcW w:w="4254" w:type="dxa"/>
            <w:tcBorders>
              <w:top w:val="single" w:color="auto" w:sz="8" w:space="0"/>
            </w:tcBorders>
            <w:shd w:val="clear" w:color="auto" w:fill="auto"/>
            <w:vAlign w:val="center"/>
          </w:tcPr>
          <w:p>
            <w:pPr>
              <w:spacing w:line="294" w:lineRule="exact"/>
              <w:rPr>
                <w:rFonts w:ascii="黑体" w:hAnsi="黑体" w:eastAsia="黑体" w:cs="黑体"/>
                <w:bCs/>
                <w:sz w:val="24"/>
              </w:rPr>
            </w:pPr>
            <w:r>
              <w:rPr>
                <w:rFonts w:hint="eastAsia" w:ascii="黑体" w:hAnsi="黑体" w:eastAsia="黑体" w:cs="黑体"/>
                <w:bCs/>
                <w:sz w:val="24"/>
              </w:rPr>
              <w:t>*正确对接地装置相关参数进行检测</w:t>
            </w:r>
          </w:p>
          <w:p>
            <w:pPr>
              <w:spacing w:line="294" w:lineRule="exact"/>
              <w:rPr>
                <w:rFonts w:ascii="黑体" w:hAnsi="黑体" w:eastAsia="黑体" w:cs="黑体"/>
                <w:bCs/>
                <w:sz w:val="24"/>
              </w:rPr>
            </w:pPr>
            <w:r>
              <w:rPr>
                <w:rFonts w:hint="eastAsia" w:ascii="仿宋_GB2312" w:hAnsi="仿宋_GB2312" w:eastAsia="仿宋_GB2312" w:cs="仿宋_GB2312"/>
                <w:bCs/>
                <w:sz w:val="24"/>
              </w:rPr>
              <w:t>（甲级5分/乙级6分）</w:t>
            </w:r>
          </w:p>
        </w:tc>
        <w:tc>
          <w:tcPr>
            <w:tcW w:w="8640" w:type="dxa"/>
            <w:shd w:val="clear" w:color="auto" w:fill="auto"/>
            <w:vAlign w:val="center"/>
          </w:tcPr>
          <w:p>
            <w:pPr>
              <w:numPr>
                <w:ilvl w:val="0"/>
                <w:numId w:val="9"/>
              </w:num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三极法或者接地电阻表法检测接地装置工频接地电阻</w:t>
            </w:r>
          </w:p>
          <w:p>
            <w:pPr>
              <w:numPr>
                <w:ilvl w:val="0"/>
                <w:numId w:val="9"/>
              </w:num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检测土壤电阻率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1673" w:type="dxa"/>
            <w:vMerge w:val="continue"/>
            <w:shd w:val="clear" w:color="auto" w:fill="auto"/>
            <w:vAlign w:val="center"/>
          </w:tcPr>
          <w:p>
            <w:pPr>
              <w:spacing w:line="294" w:lineRule="exact"/>
              <w:jc w:val="center"/>
              <w:rPr>
                <w:rFonts w:ascii="仿宋_GB2312" w:hAnsi="仿宋_GB2312" w:eastAsia="仿宋_GB2312" w:cs="仿宋_GB2312"/>
                <w:sz w:val="24"/>
              </w:rPr>
            </w:pPr>
          </w:p>
        </w:tc>
        <w:tc>
          <w:tcPr>
            <w:tcW w:w="694" w:type="dxa"/>
            <w:tcBorders>
              <w:top w:val="single" w:color="auto" w:sz="8" w:space="0"/>
            </w:tcBorders>
            <w:shd w:val="clear" w:color="auto" w:fill="auto"/>
            <w:vAlign w:val="center"/>
          </w:tcPr>
          <w:p>
            <w:pPr>
              <w:spacing w:line="294" w:lineRule="exact"/>
              <w:jc w:val="center"/>
              <w:rPr>
                <w:rFonts w:ascii="仿宋_GB2312" w:hAnsi="仿宋_GB2312" w:eastAsia="仿宋_GB2312" w:cs="仿宋_GB2312"/>
                <w:sz w:val="24"/>
              </w:rPr>
            </w:pPr>
            <w:r>
              <w:rPr>
                <w:rFonts w:hint="eastAsia" w:ascii="仿宋_GB2312" w:hAnsi="仿宋_GB2312" w:eastAsia="仿宋_GB2312" w:cs="仿宋_GB2312"/>
                <w:sz w:val="24"/>
              </w:rPr>
              <w:t>3.5</w:t>
            </w:r>
          </w:p>
        </w:tc>
        <w:tc>
          <w:tcPr>
            <w:tcW w:w="4254" w:type="dxa"/>
            <w:tcBorders>
              <w:top w:val="single" w:color="auto" w:sz="8" w:space="0"/>
            </w:tcBorders>
            <w:shd w:val="clear" w:color="auto" w:fill="auto"/>
            <w:vAlign w:val="center"/>
          </w:tcPr>
          <w:p>
            <w:pPr>
              <w:spacing w:line="294" w:lineRule="exact"/>
              <w:rPr>
                <w:rFonts w:ascii="黑体" w:hAnsi="黑体" w:eastAsia="黑体" w:cs="黑体"/>
                <w:bCs/>
                <w:sz w:val="24"/>
              </w:rPr>
            </w:pPr>
            <w:r>
              <w:rPr>
                <w:rFonts w:hint="eastAsia" w:ascii="黑体" w:hAnsi="黑体" w:eastAsia="黑体" w:cs="黑体"/>
                <w:bCs/>
                <w:sz w:val="24"/>
              </w:rPr>
              <w:t>*正确对相关设施等电位连接进行检测</w:t>
            </w:r>
          </w:p>
          <w:p>
            <w:pPr>
              <w:spacing w:line="294" w:lineRule="exact"/>
              <w:rPr>
                <w:rFonts w:ascii="黑体" w:hAnsi="黑体" w:eastAsia="黑体" w:cs="黑体"/>
                <w:bCs/>
                <w:sz w:val="24"/>
              </w:rPr>
            </w:pPr>
            <w:r>
              <w:rPr>
                <w:rFonts w:hint="eastAsia" w:ascii="仿宋_GB2312" w:hAnsi="仿宋_GB2312" w:eastAsia="仿宋_GB2312" w:cs="仿宋_GB2312"/>
                <w:bCs/>
                <w:sz w:val="24"/>
              </w:rPr>
              <w:t>（甲级5分/乙级6分）</w:t>
            </w:r>
          </w:p>
        </w:tc>
        <w:tc>
          <w:tcPr>
            <w:tcW w:w="8640" w:type="dxa"/>
            <w:shd w:val="clear" w:color="auto" w:fill="auto"/>
            <w:vAlign w:val="center"/>
          </w:tcPr>
          <w:p>
            <w:p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检测大尺寸金属物、电子设备、配电系统金属穿线管、配电箱与共用接地装置的连接情况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25" w:hRule="atLeast"/>
          <w:jc w:val="center"/>
        </w:trPr>
        <w:tc>
          <w:tcPr>
            <w:tcW w:w="1673" w:type="dxa"/>
            <w:vMerge w:val="continue"/>
            <w:shd w:val="clear" w:color="auto" w:fill="auto"/>
            <w:vAlign w:val="center"/>
          </w:tcPr>
          <w:p>
            <w:pPr>
              <w:spacing w:line="294" w:lineRule="exact"/>
              <w:jc w:val="center"/>
              <w:rPr>
                <w:rFonts w:ascii="仿宋_GB2312" w:hAnsi="仿宋_GB2312" w:eastAsia="仿宋_GB2312" w:cs="仿宋_GB2312"/>
                <w:sz w:val="24"/>
              </w:rPr>
            </w:pPr>
          </w:p>
        </w:tc>
        <w:tc>
          <w:tcPr>
            <w:tcW w:w="694" w:type="dxa"/>
            <w:tcBorders>
              <w:top w:val="single" w:color="auto" w:sz="8" w:space="0"/>
            </w:tcBorders>
            <w:shd w:val="clear" w:color="auto" w:fill="auto"/>
            <w:vAlign w:val="center"/>
          </w:tcPr>
          <w:p>
            <w:pPr>
              <w:spacing w:line="294" w:lineRule="exact"/>
              <w:jc w:val="center"/>
              <w:rPr>
                <w:rFonts w:ascii="仿宋_GB2312" w:hAnsi="仿宋_GB2312" w:eastAsia="仿宋_GB2312" w:cs="仿宋_GB2312"/>
                <w:sz w:val="24"/>
              </w:rPr>
            </w:pPr>
            <w:r>
              <w:rPr>
                <w:rFonts w:hint="eastAsia" w:ascii="仿宋_GB2312" w:hAnsi="仿宋_GB2312" w:eastAsia="仿宋_GB2312" w:cs="仿宋_GB2312"/>
                <w:sz w:val="24"/>
              </w:rPr>
              <w:t>3.6</w:t>
            </w:r>
          </w:p>
        </w:tc>
        <w:tc>
          <w:tcPr>
            <w:tcW w:w="4254" w:type="dxa"/>
            <w:tcBorders>
              <w:top w:val="single" w:color="auto" w:sz="8" w:space="0"/>
            </w:tcBorders>
            <w:shd w:val="clear" w:color="auto" w:fill="auto"/>
            <w:vAlign w:val="center"/>
          </w:tcPr>
          <w:p>
            <w:pPr>
              <w:spacing w:line="294" w:lineRule="exact"/>
              <w:rPr>
                <w:rFonts w:ascii="黑体" w:hAnsi="黑体" w:eastAsia="黑体" w:cs="黑体"/>
                <w:bCs/>
                <w:sz w:val="24"/>
              </w:rPr>
            </w:pPr>
            <w:r>
              <w:rPr>
                <w:rFonts w:hint="eastAsia" w:ascii="黑体" w:hAnsi="黑体" w:eastAsia="黑体" w:cs="黑体"/>
                <w:bCs/>
                <w:sz w:val="24"/>
              </w:rPr>
              <w:t>*正确对电涌保护器进行检查、测试</w:t>
            </w:r>
          </w:p>
          <w:p>
            <w:pPr>
              <w:spacing w:line="294" w:lineRule="exact"/>
              <w:rPr>
                <w:rFonts w:ascii="黑体" w:hAnsi="黑体" w:eastAsia="黑体" w:cs="黑体"/>
                <w:bCs/>
                <w:sz w:val="24"/>
              </w:rPr>
            </w:pPr>
            <w:r>
              <w:rPr>
                <w:rFonts w:hint="eastAsia" w:ascii="仿宋_GB2312" w:hAnsi="仿宋_GB2312" w:eastAsia="仿宋_GB2312" w:cs="仿宋_GB2312"/>
                <w:bCs/>
                <w:sz w:val="24"/>
              </w:rPr>
              <w:t>（甲级5分/乙级6分）</w:t>
            </w:r>
          </w:p>
        </w:tc>
        <w:tc>
          <w:tcPr>
            <w:tcW w:w="8640" w:type="dxa"/>
            <w:shd w:val="clear" w:color="auto" w:fill="auto"/>
            <w:vAlign w:val="center"/>
          </w:tcPr>
          <w:p>
            <w:pPr>
              <w:numPr>
                <w:ilvl w:val="0"/>
                <w:numId w:val="10"/>
              </w:num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检查SPD的安装位置、类型、数量、型号、外观、状态显示、过流保护、主要性能参数（如U</w:t>
            </w:r>
            <w:r>
              <w:rPr>
                <w:rFonts w:hint="eastAsia" w:ascii="仿宋_GB2312" w:hAnsi="仿宋_GB2312" w:eastAsia="仿宋_GB2312" w:cs="仿宋_GB2312"/>
                <w:sz w:val="24"/>
                <w:vertAlign w:val="subscript"/>
              </w:rPr>
              <w:t>c</w:t>
            </w:r>
            <w:r>
              <w:rPr>
                <w:rFonts w:hint="eastAsia" w:ascii="仿宋_GB2312" w:hAnsi="仿宋_GB2312" w:eastAsia="仿宋_GB2312" w:cs="仿宋_GB2312"/>
                <w:sz w:val="24"/>
              </w:rPr>
              <w:t>、I</w:t>
            </w:r>
            <w:r>
              <w:rPr>
                <w:rFonts w:hint="eastAsia" w:ascii="仿宋_GB2312" w:hAnsi="仿宋_GB2312" w:eastAsia="仿宋_GB2312" w:cs="仿宋_GB2312"/>
                <w:sz w:val="24"/>
                <w:vertAlign w:val="subscript"/>
              </w:rPr>
              <w:t>n</w:t>
            </w:r>
            <w:r>
              <w:rPr>
                <w:rFonts w:hint="eastAsia" w:ascii="仿宋_GB2312" w:hAnsi="仿宋_GB2312" w:eastAsia="仿宋_GB2312" w:cs="仿宋_GB2312"/>
                <w:sz w:val="24"/>
              </w:rPr>
              <w:t>、I</w:t>
            </w:r>
            <w:r>
              <w:rPr>
                <w:rFonts w:hint="eastAsia" w:ascii="仿宋_GB2312" w:hAnsi="仿宋_GB2312" w:eastAsia="仿宋_GB2312" w:cs="仿宋_GB2312"/>
                <w:sz w:val="24"/>
                <w:vertAlign w:val="subscript"/>
              </w:rPr>
              <w:t>max</w:t>
            </w:r>
            <w:r>
              <w:rPr>
                <w:rFonts w:hint="eastAsia" w:ascii="仿宋_GB2312" w:hAnsi="仿宋_GB2312" w:eastAsia="仿宋_GB2312" w:cs="仿宋_GB2312"/>
                <w:sz w:val="24"/>
              </w:rPr>
              <w:t>、I</w:t>
            </w:r>
            <w:r>
              <w:rPr>
                <w:rFonts w:hint="eastAsia" w:ascii="仿宋_GB2312" w:hAnsi="仿宋_GB2312" w:eastAsia="仿宋_GB2312" w:cs="仿宋_GB2312"/>
                <w:sz w:val="24"/>
                <w:vertAlign w:val="subscript"/>
              </w:rPr>
              <w:t>imp</w:t>
            </w:r>
            <w:r>
              <w:rPr>
                <w:rFonts w:hint="eastAsia" w:ascii="仿宋_GB2312" w:hAnsi="仿宋_GB2312" w:eastAsia="仿宋_GB2312" w:cs="仿宋_GB2312"/>
                <w:sz w:val="24"/>
              </w:rPr>
              <w:t>、U</w:t>
            </w:r>
            <w:r>
              <w:rPr>
                <w:rFonts w:hint="eastAsia" w:ascii="仿宋_GB2312" w:hAnsi="仿宋_GB2312" w:eastAsia="仿宋_GB2312" w:cs="仿宋_GB2312"/>
                <w:sz w:val="24"/>
                <w:vertAlign w:val="subscript"/>
              </w:rPr>
              <w:t>p</w:t>
            </w:r>
            <w:r>
              <w:rPr>
                <w:rFonts w:hint="eastAsia" w:ascii="仿宋_GB2312" w:hAnsi="仿宋_GB2312" w:eastAsia="仿宋_GB2312" w:cs="仿宋_GB2312"/>
                <w:sz w:val="24"/>
              </w:rPr>
              <w:t>等）和安装工艺（连接导体的材质和导线截面，连接导线的色标，连接牢固程度）</w:t>
            </w:r>
          </w:p>
          <w:p>
            <w:pPr>
              <w:numPr>
                <w:ilvl w:val="0"/>
                <w:numId w:val="10"/>
              </w:num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测量限压型SPD压敏电压U</w:t>
            </w:r>
            <w:r>
              <w:rPr>
                <w:rFonts w:hint="eastAsia" w:ascii="仿宋_GB2312" w:hAnsi="仿宋_GB2312" w:eastAsia="仿宋_GB2312" w:cs="仿宋_GB2312"/>
                <w:sz w:val="24"/>
                <w:vertAlign w:val="subscript"/>
              </w:rPr>
              <w:t>1 mA</w:t>
            </w:r>
            <w:r>
              <w:rPr>
                <w:rFonts w:hint="eastAsia" w:ascii="仿宋_GB2312" w:hAnsi="仿宋_GB2312" w:eastAsia="仿宋_GB2312" w:cs="仿宋_GB2312"/>
                <w:sz w:val="24"/>
              </w:rPr>
              <w:t>、泄漏电流、绝缘电阻、接地电阻或过渡电阻等参数</w:t>
            </w:r>
          </w:p>
          <w:p>
            <w:pPr>
              <w:numPr>
                <w:ilvl w:val="0"/>
                <w:numId w:val="10"/>
              </w:num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测量SPD绝缘电阻、接地电阻或过渡电阻等参数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1673" w:type="dxa"/>
            <w:vMerge w:val="continue"/>
            <w:shd w:val="clear" w:color="auto" w:fill="auto"/>
            <w:vAlign w:val="center"/>
          </w:tcPr>
          <w:p>
            <w:pPr>
              <w:spacing w:line="294" w:lineRule="exact"/>
              <w:jc w:val="center"/>
              <w:rPr>
                <w:rFonts w:ascii="仿宋_GB2312" w:hAnsi="仿宋_GB2312" w:eastAsia="仿宋_GB2312" w:cs="仿宋_GB2312"/>
                <w:sz w:val="24"/>
              </w:rPr>
            </w:pPr>
          </w:p>
        </w:tc>
        <w:tc>
          <w:tcPr>
            <w:tcW w:w="694" w:type="dxa"/>
            <w:tcBorders>
              <w:top w:val="single" w:color="auto" w:sz="8" w:space="0"/>
            </w:tcBorders>
            <w:shd w:val="clear" w:color="auto" w:fill="auto"/>
            <w:vAlign w:val="center"/>
          </w:tcPr>
          <w:p>
            <w:pPr>
              <w:spacing w:line="294" w:lineRule="exact"/>
              <w:jc w:val="center"/>
              <w:rPr>
                <w:rFonts w:ascii="仿宋_GB2312" w:hAnsi="仿宋_GB2312" w:eastAsia="仿宋_GB2312" w:cs="仿宋_GB2312"/>
                <w:sz w:val="24"/>
              </w:rPr>
            </w:pPr>
            <w:r>
              <w:rPr>
                <w:rFonts w:hint="eastAsia" w:ascii="仿宋_GB2312" w:hAnsi="仿宋_GB2312" w:eastAsia="仿宋_GB2312" w:cs="仿宋_GB2312"/>
                <w:sz w:val="24"/>
              </w:rPr>
              <w:t>3.7</w:t>
            </w:r>
          </w:p>
        </w:tc>
        <w:tc>
          <w:tcPr>
            <w:tcW w:w="4254" w:type="dxa"/>
            <w:tcBorders>
              <w:top w:val="single" w:color="auto" w:sz="8" w:space="0"/>
            </w:tcBorders>
            <w:shd w:val="clear" w:color="auto" w:fill="auto"/>
            <w:vAlign w:val="center"/>
          </w:tcPr>
          <w:p>
            <w:pPr>
              <w:spacing w:line="294" w:lineRule="exact"/>
              <w:rPr>
                <w:rFonts w:ascii="仿宋_GB2312" w:hAnsi="仿宋_GB2312" w:eastAsia="仿宋_GB2312" w:cs="仿宋_GB2312"/>
                <w:bCs/>
                <w:sz w:val="24"/>
              </w:rPr>
            </w:pPr>
            <w:r>
              <w:rPr>
                <w:rFonts w:hint="eastAsia" w:ascii="仿宋_GB2312" w:hAnsi="仿宋_GB2312" w:eastAsia="仿宋_GB2312" w:cs="仿宋_GB2312"/>
                <w:bCs/>
                <w:sz w:val="24"/>
              </w:rPr>
              <w:t>正确识别相关位置的防雷分区</w:t>
            </w:r>
          </w:p>
          <w:p>
            <w:pPr>
              <w:spacing w:line="294" w:lineRule="exact"/>
              <w:rPr>
                <w:rFonts w:ascii="仿宋_GB2312" w:hAnsi="仿宋_GB2312" w:eastAsia="仿宋_GB2312" w:cs="仿宋_GB2312"/>
                <w:bCs/>
                <w:sz w:val="24"/>
              </w:rPr>
            </w:pPr>
            <w:r>
              <w:rPr>
                <w:rFonts w:hint="eastAsia" w:ascii="仿宋_GB2312" w:hAnsi="仿宋_GB2312" w:eastAsia="仿宋_GB2312" w:cs="仿宋_GB2312"/>
                <w:bCs/>
                <w:sz w:val="24"/>
              </w:rPr>
              <w:t>（甲级1分/乙级2分）</w:t>
            </w:r>
          </w:p>
        </w:tc>
        <w:tc>
          <w:tcPr>
            <w:tcW w:w="8640" w:type="dxa"/>
            <w:shd w:val="clear" w:color="auto" w:fill="auto"/>
            <w:vAlign w:val="center"/>
          </w:tcPr>
          <w:p>
            <w:pPr>
              <w:spacing w:line="294" w:lineRule="exact"/>
              <w:jc w:val="left"/>
              <w:rPr>
                <w:rFonts w:ascii="仿宋_GB2312" w:hAnsi="仿宋_GB2312" w:eastAsia="仿宋_GB2312" w:cs="仿宋_GB2312"/>
                <w:bCs/>
                <w:sz w:val="24"/>
              </w:rPr>
            </w:pPr>
            <w:r>
              <w:rPr>
                <w:rFonts w:hint="eastAsia" w:ascii="仿宋_GB2312" w:hAnsi="仿宋_GB2312" w:eastAsia="仿宋_GB2312" w:cs="仿宋_GB2312"/>
                <w:bCs/>
                <w:sz w:val="24"/>
              </w:rPr>
              <w:t>正确划分指定部位的防雷区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1673" w:type="dxa"/>
            <w:vMerge w:val="continue"/>
            <w:shd w:val="clear" w:color="auto" w:fill="auto"/>
            <w:vAlign w:val="center"/>
          </w:tcPr>
          <w:p>
            <w:pPr>
              <w:spacing w:line="294" w:lineRule="exact"/>
              <w:jc w:val="center"/>
              <w:rPr>
                <w:rFonts w:ascii="仿宋_GB2312" w:hAnsi="仿宋_GB2312" w:eastAsia="仿宋_GB2312" w:cs="仿宋_GB2312"/>
                <w:sz w:val="24"/>
              </w:rPr>
            </w:pPr>
          </w:p>
        </w:tc>
        <w:tc>
          <w:tcPr>
            <w:tcW w:w="694" w:type="dxa"/>
            <w:tcBorders>
              <w:top w:val="single" w:color="auto" w:sz="8" w:space="0"/>
            </w:tcBorders>
            <w:shd w:val="clear" w:color="auto" w:fill="auto"/>
            <w:vAlign w:val="center"/>
          </w:tcPr>
          <w:p>
            <w:pPr>
              <w:spacing w:line="294" w:lineRule="exact"/>
              <w:jc w:val="center"/>
              <w:rPr>
                <w:rFonts w:ascii="仿宋_GB2312" w:hAnsi="仿宋_GB2312" w:eastAsia="仿宋_GB2312" w:cs="仿宋_GB2312"/>
                <w:sz w:val="24"/>
              </w:rPr>
            </w:pPr>
            <w:r>
              <w:rPr>
                <w:rFonts w:hint="eastAsia" w:ascii="仿宋_GB2312" w:hAnsi="仿宋_GB2312" w:eastAsia="仿宋_GB2312" w:cs="仿宋_GB2312"/>
                <w:sz w:val="24"/>
              </w:rPr>
              <w:t>3.8</w:t>
            </w:r>
          </w:p>
        </w:tc>
        <w:tc>
          <w:tcPr>
            <w:tcW w:w="4254" w:type="dxa"/>
            <w:tcBorders>
              <w:top w:val="single" w:color="auto" w:sz="8" w:space="0"/>
            </w:tcBorders>
            <w:shd w:val="clear" w:color="auto" w:fill="auto"/>
            <w:vAlign w:val="center"/>
          </w:tcPr>
          <w:p>
            <w:pPr>
              <w:spacing w:line="294" w:lineRule="exact"/>
              <w:rPr>
                <w:rFonts w:ascii="仿宋_GB2312" w:hAnsi="仿宋_GB2312" w:eastAsia="仿宋_GB2312" w:cs="仿宋_GB2312"/>
                <w:bCs/>
                <w:sz w:val="24"/>
              </w:rPr>
            </w:pPr>
            <w:r>
              <w:rPr>
                <w:rFonts w:hint="eastAsia" w:ascii="仿宋_GB2312" w:hAnsi="仿宋_GB2312" w:eastAsia="仿宋_GB2312" w:cs="仿宋_GB2312"/>
                <w:bCs/>
                <w:sz w:val="24"/>
              </w:rPr>
              <w:t>正确对相关场所屏蔽设施进行检测</w:t>
            </w:r>
          </w:p>
          <w:p>
            <w:pPr>
              <w:spacing w:line="294" w:lineRule="exact"/>
              <w:rPr>
                <w:rFonts w:ascii="仿宋_GB2312" w:hAnsi="仿宋_GB2312" w:eastAsia="仿宋_GB2312" w:cs="仿宋_GB2312"/>
                <w:bCs/>
                <w:sz w:val="24"/>
              </w:rPr>
            </w:pPr>
            <w:r>
              <w:rPr>
                <w:rFonts w:hint="eastAsia" w:ascii="仿宋_GB2312" w:hAnsi="仿宋_GB2312" w:eastAsia="仿宋_GB2312" w:cs="仿宋_GB2312"/>
                <w:bCs/>
                <w:sz w:val="24"/>
              </w:rPr>
              <w:t>（甲级2分/乙级2分）</w:t>
            </w:r>
          </w:p>
        </w:tc>
        <w:tc>
          <w:tcPr>
            <w:tcW w:w="8640" w:type="dxa"/>
            <w:shd w:val="clear" w:color="auto" w:fill="auto"/>
            <w:vAlign w:val="center"/>
          </w:tcPr>
          <w:p>
            <w:pPr>
              <w:numPr>
                <w:ilvl w:val="0"/>
                <w:numId w:val="11"/>
              </w:num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检测指定的屏蔽电缆和非屏蔽电缆是否满足屏蔽要求</w:t>
            </w:r>
          </w:p>
          <w:p>
            <w:pPr>
              <w:numPr>
                <w:ilvl w:val="0"/>
                <w:numId w:val="11"/>
              </w:num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检测建筑物的屋顶金属表面、立面金属表面、混凝土内钢筋和金属门窗框架等大尺寸金属件与防雷接地装置的电气连接是否满足屏蔽要求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1673" w:type="dxa"/>
            <w:vMerge w:val="restart"/>
            <w:shd w:val="clear" w:color="auto" w:fill="auto"/>
            <w:vAlign w:val="center"/>
          </w:tcPr>
          <w:p>
            <w:pPr>
              <w:numPr>
                <w:ilvl w:val="0"/>
                <w:numId w:val="12"/>
              </w:numPr>
              <w:spacing w:line="294"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大地网检测（仅适用于申请甲级资质单位）</w:t>
            </w:r>
          </w:p>
        </w:tc>
        <w:tc>
          <w:tcPr>
            <w:tcW w:w="694" w:type="dxa"/>
            <w:tcBorders>
              <w:top w:val="single" w:color="auto" w:sz="8" w:space="0"/>
            </w:tcBorders>
            <w:shd w:val="clear" w:color="auto" w:fill="auto"/>
            <w:vAlign w:val="center"/>
          </w:tcPr>
          <w:p>
            <w:pPr>
              <w:spacing w:line="294" w:lineRule="exact"/>
              <w:jc w:val="center"/>
              <w:rPr>
                <w:rFonts w:ascii="仿宋_GB2312" w:hAnsi="仿宋_GB2312" w:eastAsia="仿宋_GB2312" w:cs="仿宋_GB2312"/>
                <w:sz w:val="24"/>
              </w:rPr>
            </w:pPr>
            <w:r>
              <w:rPr>
                <w:rFonts w:hint="eastAsia" w:ascii="仿宋_GB2312" w:hAnsi="仿宋_GB2312" w:eastAsia="仿宋_GB2312" w:cs="仿宋_GB2312"/>
                <w:sz w:val="24"/>
              </w:rPr>
              <w:t>4.1</w:t>
            </w:r>
          </w:p>
        </w:tc>
        <w:tc>
          <w:tcPr>
            <w:tcW w:w="4254" w:type="dxa"/>
            <w:tcBorders>
              <w:top w:val="single" w:color="auto" w:sz="8" w:space="0"/>
            </w:tcBorders>
            <w:shd w:val="clear" w:color="auto" w:fill="auto"/>
            <w:vAlign w:val="center"/>
          </w:tcPr>
          <w:p>
            <w:pPr>
              <w:spacing w:line="294" w:lineRule="exact"/>
              <w:rPr>
                <w:rFonts w:ascii="仿宋_GB2312" w:hAnsi="仿宋_GB2312" w:eastAsia="仿宋_GB2312" w:cs="仿宋_GB2312"/>
                <w:bCs/>
                <w:sz w:val="24"/>
              </w:rPr>
            </w:pPr>
            <w:r>
              <w:rPr>
                <w:rFonts w:hint="eastAsia" w:ascii="仿宋_GB2312" w:hAnsi="仿宋_GB2312" w:eastAsia="仿宋_GB2312" w:cs="仿宋_GB2312"/>
                <w:bCs/>
                <w:sz w:val="24"/>
              </w:rPr>
              <w:t>合理制定检测方案，团队分工协作顺畅</w:t>
            </w:r>
          </w:p>
          <w:p>
            <w:pPr>
              <w:spacing w:line="294" w:lineRule="exact"/>
              <w:rPr>
                <w:rFonts w:ascii="仿宋_GB2312" w:hAnsi="仿宋_GB2312" w:eastAsia="仿宋_GB2312" w:cs="仿宋_GB2312"/>
                <w:bCs/>
                <w:sz w:val="24"/>
              </w:rPr>
            </w:pPr>
            <w:r>
              <w:rPr>
                <w:rFonts w:hint="eastAsia" w:ascii="仿宋_GB2312" w:hAnsi="仿宋_GB2312" w:eastAsia="仿宋_GB2312" w:cs="仿宋_GB2312"/>
                <w:bCs/>
                <w:sz w:val="24"/>
              </w:rPr>
              <w:t>（甲级4分）</w:t>
            </w:r>
          </w:p>
        </w:tc>
        <w:tc>
          <w:tcPr>
            <w:tcW w:w="8640" w:type="dxa"/>
            <w:shd w:val="clear" w:color="auto" w:fill="auto"/>
            <w:vAlign w:val="center"/>
          </w:tcPr>
          <w:p>
            <w:pPr>
              <w:numPr>
                <w:ilvl w:val="0"/>
                <w:numId w:val="13"/>
              </w:num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组长介绍检测方案，检测思路清晰，方案完整，并按方案系统完成检测</w:t>
            </w:r>
          </w:p>
          <w:p>
            <w:pPr>
              <w:numPr>
                <w:ilvl w:val="0"/>
                <w:numId w:val="13"/>
              </w:num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组长进行合理分工</w:t>
            </w:r>
          </w:p>
          <w:p>
            <w:pPr>
              <w:numPr>
                <w:ilvl w:val="0"/>
                <w:numId w:val="13"/>
              </w:num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团队沟通顺畅、有效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1673" w:type="dxa"/>
            <w:vMerge w:val="continue"/>
            <w:shd w:val="clear" w:color="auto" w:fill="auto"/>
            <w:vAlign w:val="center"/>
          </w:tcPr>
          <w:p>
            <w:pPr>
              <w:spacing w:line="294" w:lineRule="exact"/>
              <w:jc w:val="center"/>
              <w:rPr>
                <w:rFonts w:ascii="仿宋_GB2312" w:hAnsi="仿宋_GB2312" w:eastAsia="仿宋_GB2312" w:cs="仿宋_GB2312"/>
                <w:b/>
                <w:bCs/>
                <w:sz w:val="24"/>
              </w:rPr>
            </w:pPr>
          </w:p>
        </w:tc>
        <w:tc>
          <w:tcPr>
            <w:tcW w:w="694" w:type="dxa"/>
            <w:tcBorders>
              <w:top w:val="single" w:color="auto" w:sz="8" w:space="0"/>
            </w:tcBorders>
            <w:shd w:val="clear" w:color="auto" w:fill="auto"/>
            <w:vAlign w:val="center"/>
          </w:tcPr>
          <w:p>
            <w:pPr>
              <w:spacing w:line="294" w:lineRule="exact"/>
              <w:jc w:val="center"/>
              <w:rPr>
                <w:rFonts w:ascii="仿宋_GB2312" w:hAnsi="仿宋_GB2312" w:eastAsia="仿宋_GB2312" w:cs="仿宋_GB2312"/>
                <w:sz w:val="24"/>
              </w:rPr>
            </w:pPr>
            <w:r>
              <w:rPr>
                <w:rFonts w:hint="eastAsia" w:ascii="仿宋_GB2312" w:hAnsi="仿宋_GB2312" w:eastAsia="仿宋_GB2312" w:cs="仿宋_GB2312"/>
                <w:sz w:val="24"/>
              </w:rPr>
              <w:t>4.2</w:t>
            </w:r>
          </w:p>
        </w:tc>
        <w:tc>
          <w:tcPr>
            <w:tcW w:w="4254" w:type="dxa"/>
            <w:tcBorders>
              <w:top w:val="single" w:color="auto" w:sz="8" w:space="0"/>
            </w:tcBorders>
            <w:shd w:val="clear" w:color="auto" w:fill="auto"/>
            <w:vAlign w:val="center"/>
          </w:tcPr>
          <w:p>
            <w:pPr>
              <w:spacing w:line="294" w:lineRule="exact"/>
              <w:rPr>
                <w:rFonts w:ascii="黑体" w:hAnsi="黑体" w:eastAsia="黑体" w:cs="黑体"/>
                <w:bCs/>
                <w:sz w:val="24"/>
              </w:rPr>
            </w:pPr>
            <w:r>
              <w:rPr>
                <w:rFonts w:hint="eastAsia" w:ascii="黑体" w:hAnsi="黑体" w:eastAsia="黑体" w:cs="黑体"/>
                <w:bCs/>
                <w:sz w:val="24"/>
              </w:rPr>
              <w:t>*正确确定地网尺寸，踏勘现场、确定电流极和电位极位置</w:t>
            </w:r>
            <w:r>
              <w:rPr>
                <w:rFonts w:hint="eastAsia" w:ascii="仿宋_GB2312" w:hAnsi="仿宋_GB2312" w:eastAsia="仿宋_GB2312" w:cs="仿宋_GB2312"/>
                <w:bCs/>
                <w:sz w:val="24"/>
              </w:rPr>
              <w:t>（甲级5分）</w:t>
            </w:r>
          </w:p>
        </w:tc>
        <w:tc>
          <w:tcPr>
            <w:tcW w:w="8640" w:type="dxa"/>
            <w:shd w:val="clear" w:color="auto" w:fill="auto"/>
            <w:vAlign w:val="center"/>
          </w:tcPr>
          <w:p>
            <w:pPr>
              <w:numPr>
                <w:ilvl w:val="0"/>
                <w:numId w:val="14"/>
              </w:num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测量地网尺寸，计算电流极与地网距离</w:t>
            </w:r>
          </w:p>
          <w:p>
            <w:pPr>
              <w:numPr>
                <w:ilvl w:val="0"/>
                <w:numId w:val="14"/>
              </w:num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踏勘现场，合理确定电流极和电位极布设位置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25" w:hRule="atLeast"/>
          <w:jc w:val="center"/>
        </w:trPr>
        <w:tc>
          <w:tcPr>
            <w:tcW w:w="1673" w:type="dxa"/>
            <w:vMerge w:val="continue"/>
            <w:shd w:val="clear" w:color="auto" w:fill="auto"/>
            <w:vAlign w:val="center"/>
          </w:tcPr>
          <w:p>
            <w:pPr>
              <w:spacing w:line="294" w:lineRule="exact"/>
              <w:jc w:val="center"/>
              <w:rPr>
                <w:rFonts w:ascii="仿宋_GB2312" w:hAnsi="仿宋_GB2312" w:eastAsia="仿宋_GB2312" w:cs="仿宋_GB2312"/>
                <w:b/>
                <w:bCs/>
                <w:sz w:val="24"/>
              </w:rPr>
            </w:pPr>
          </w:p>
        </w:tc>
        <w:tc>
          <w:tcPr>
            <w:tcW w:w="694" w:type="dxa"/>
            <w:tcBorders>
              <w:top w:val="single" w:color="auto" w:sz="8" w:space="0"/>
            </w:tcBorders>
            <w:shd w:val="clear" w:color="auto" w:fill="auto"/>
            <w:vAlign w:val="center"/>
          </w:tcPr>
          <w:p>
            <w:pPr>
              <w:spacing w:line="294" w:lineRule="exact"/>
              <w:jc w:val="center"/>
              <w:rPr>
                <w:rFonts w:ascii="仿宋_GB2312" w:hAnsi="仿宋_GB2312" w:eastAsia="仿宋_GB2312" w:cs="仿宋_GB2312"/>
                <w:sz w:val="24"/>
              </w:rPr>
            </w:pPr>
            <w:r>
              <w:rPr>
                <w:rFonts w:hint="eastAsia" w:ascii="仿宋_GB2312" w:hAnsi="仿宋_GB2312" w:eastAsia="仿宋_GB2312" w:cs="仿宋_GB2312"/>
                <w:sz w:val="24"/>
              </w:rPr>
              <w:t>4.3</w:t>
            </w:r>
          </w:p>
        </w:tc>
        <w:tc>
          <w:tcPr>
            <w:tcW w:w="4254" w:type="dxa"/>
            <w:tcBorders>
              <w:top w:val="single" w:color="auto" w:sz="8" w:space="0"/>
            </w:tcBorders>
            <w:shd w:val="clear" w:color="auto" w:fill="auto"/>
            <w:vAlign w:val="center"/>
          </w:tcPr>
          <w:p>
            <w:pPr>
              <w:spacing w:line="294" w:lineRule="exact"/>
              <w:rPr>
                <w:rFonts w:ascii="黑体" w:hAnsi="黑体" w:eastAsia="黑体" w:cs="黑体"/>
                <w:bCs/>
                <w:sz w:val="24"/>
              </w:rPr>
            </w:pPr>
            <w:r>
              <w:rPr>
                <w:rFonts w:hint="eastAsia" w:ascii="黑体" w:hAnsi="黑体" w:eastAsia="黑体" w:cs="黑体"/>
                <w:bCs/>
                <w:sz w:val="24"/>
              </w:rPr>
              <w:t>*正确布置现场和接地极，调试测试回路</w:t>
            </w:r>
            <w:r>
              <w:rPr>
                <w:rFonts w:hint="eastAsia" w:ascii="仿宋_GB2312" w:hAnsi="仿宋_GB2312" w:eastAsia="仿宋_GB2312" w:cs="仿宋_GB2312"/>
                <w:bCs/>
                <w:sz w:val="24"/>
              </w:rPr>
              <w:t>（甲级5分）</w:t>
            </w:r>
          </w:p>
        </w:tc>
        <w:tc>
          <w:tcPr>
            <w:tcW w:w="8640" w:type="dxa"/>
            <w:shd w:val="clear" w:color="auto" w:fill="auto"/>
            <w:vAlign w:val="center"/>
          </w:tcPr>
          <w:p>
            <w:pPr>
              <w:numPr>
                <w:ilvl w:val="0"/>
                <w:numId w:val="15"/>
              </w:num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采用GPS定位来确定电流极和电位极的直线距离及其夹角，或者用皮尺测量距离</w:t>
            </w:r>
          </w:p>
          <w:p>
            <w:pPr>
              <w:numPr>
                <w:ilvl w:val="0"/>
                <w:numId w:val="15"/>
              </w:num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电流极和电位极符合要求</w:t>
            </w:r>
          </w:p>
          <w:p>
            <w:pPr>
              <w:numPr>
                <w:ilvl w:val="0"/>
                <w:numId w:val="15"/>
              </w:num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电流线和点位线符合要求</w:t>
            </w:r>
          </w:p>
          <w:p>
            <w:pPr>
              <w:numPr>
                <w:ilvl w:val="0"/>
                <w:numId w:val="15"/>
              </w:num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按照仪器设备要求正确进行测试线绝缘状况测试、干扰测试、回路阻抗测试</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1673" w:type="dxa"/>
            <w:vMerge w:val="continue"/>
            <w:shd w:val="clear" w:color="auto" w:fill="auto"/>
            <w:vAlign w:val="center"/>
          </w:tcPr>
          <w:p>
            <w:pPr>
              <w:spacing w:line="294" w:lineRule="exact"/>
              <w:jc w:val="center"/>
              <w:rPr>
                <w:rFonts w:ascii="仿宋_GB2312" w:hAnsi="仿宋_GB2312" w:eastAsia="仿宋_GB2312" w:cs="仿宋_GB2312"/>
                <w:b/>
                <w:bCs/>
                <w:sz w:val="24"/>
              </w:rPr>
            </w:pPr>
          </w:p>
        </w:tc>
        <w:tc>
          <w:tcPr>
            <w:tcW w:w="694" w:type="dxa"/>
            <w:tcBorders>
              <w:top w:val="single" w:color="auto" w:sz="8" w:space="0"/>
            </w:tcBorders>
            <w:shd w:val="clear" w:color="auto" w:fill="auto"/>
            <w:vAlign w:val="center"/>
          </w:tcPr>
          <w:p>
            <w:pPr>
              <w:spacing w:line="294" w:lineRule="exact"/>
              <w:jc w:val="center"/>
              <w:rPr>
                <w:rFonts w:ascii="仿宋_GB2312" w:hAnsi="仿宋_GB2312" w:eastAsia="仿宋_GB2312" w:cs="仿宋_GB2312"/>
                <w:sz w:val="24"/>
              </w:rPr>
            </w:pPr>
            <w:r>
              <w:rPr>
                <w:rFonts w:hint="eastAsia" w:ascii="仿宋_GB2312" w:hAnsi="仿宋_GB2312" w:eastAsia="仿宋_GB2312" w:cs="仿宋_GB2312"/>
                <w:sz w:val="24"/>
              </w:rPr>
              <w:t>4.4</w:t>
            </w:r>
          </w:p>
        </w:tc>
        <w:tc>
          <w:tcPr>
            <w:tcW w:w="4254" w:type="dxa"/>
            <w:tcBorders>
              <w:top w:val="single" w:color="auto" w:sz="8" w:space="0"/>
            </w:tcBorders>
            <w:shd w:val="clear" w:color="auto" w:fill="auto"/>
            <w:vAlign w:val="center"/>
          </w:tcPr>
          <w:p>
            <w:pPr>
              <w:spacing w:line="294" w:lineRule="exact"/>
              <w:rPr>
                <w:rFonts w:ascii="黑体" w:hAnsi="黑体" w:eastAsia="黑体" w:cs="黑体"/>
                <w:bCs/>
                <w:sz w:val="24"/>
              </w:rPr>
            </w:pPr>
            <w:r>
              <w:rPr>
                <w:rFonts w:hint="eastAsia" w:ascii="黑体" w:hAnsi="黑体" w:eastAsia="黑体" w:cs="黑体"/>
                <w:bCs/>
                <w:sz w:val="24"/>
              </w:rPr>
              <w:t>*正确对接地装置特性参数进行测试</w:t>
            </w:r>
          </w:p>
          <w:p>
            <w:pPr>
              <w:spacing w:line="294" w:lineRule="exact"/>
              <w:rPr>
                <w:rFonts w:ascii="黑体" w:hAnsi="黑体" w:eastAsia="黑体" w:cs="黑体"/>
                <w:bCs/>
                <w:sz w:val="24"/>
              </w:rPr>
            </w:pPr>
            <w:r>
              <w:rPr>
                <w:rFonts w:hint="eastAsia" w:ascii="仿宋_GB2312" w:hAnsi="仿宋_GB2312" w:eastAsia="仿宋_GB2312" w:cs="仿宋_GB2312"/>
                <w:bCs/>
                <w:sz w:val="24"/>
              </w:rPr>
              <w:t>（甲级5分）</w:t>
            </w:r>
          </w:p>
        </w:tc>
        <w:tc>
          <w:tcPr>
            <w:tcW w:w="8640" w:type="dxa"/>
            <w:shd w:val="clear" w:color="auto" w:fill="auto"/>
            <w:vAlign w:val="center"/>
          </w:tcPr>
          <w:p>
            <w:p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正确对指定接地装置特性参数进行测试</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1673" w:type="dxa"/>
            <w:vMerge w:val="continue"/>
            <w:shd w:val="clear" w:color="auto" w:fill="auto"/>
            <w:vAlign w:val="center"/>
          </w:tcPr>
          <w:p>
            <w:pPr>
              <w:spacing w:line="294" w:lineRule="exact"/>
              <w:jc w:val="center"/>
              <w:rPr>
                <w:rFonts w:ascii="仿宋_GB2312" w:hAnsi="仿宋_GB2312" w:eastAsia="仿宋_GB2312" w:cs="仿宋_GB2312"/>
                <w:b/>
                <w:bCs/>
                <w:sz w:val="24"/>
              </w:rPr>
            </w:pPr>
          </w:p>
        </w:tc>
        <w:tc>
          <w:tcPr>
            <w:tcW w:w="694" w:type="dxa"/>
            <w:tcBorders>
              <w:top w:val="single" w:color="auto" w:sz="8" w:space="0"/>
            </w:tcBorders>
            <w:shd w:val="clear" w:color="auto" w:fill="auto"/>
            <w:vAlign w:val="center"/>
          </w:tcPr>
          <w:p>
            <w:pPr>
              <w:spacing w:line="294" w:lineRule="exact"/>
              <w:jc w:val="center"/>
              <w:rPr>
                <w:rFonts w:ascii="仿宋_GB2312" w:hAnsi="仿宋_GB2312" w:eastAsia="仿宋_GB2312" w:cs="仿宋_GB2312"/>
                <w:sz w:val="24"/>
              </w:rPr>
            </w:pPr>
            <w:r>
              <w:rPr>
                <w:rFonts w:hint="eastAsia" w:ascii="仿宋_GB2312" w:hAnsi="仿宋_GB2312" w:eastAsia="仿宋_GB2312" w:cs="仿宋_GB2312"/>
                <w:sz w:val="24"/>
              </w:rPr>
              <w:t>4.5</w:t>
            </w:r>
          </w:p>
        </w:tc>
        <w:tc>
          <w:tcPr>
            <w:tcW w:w="4254" w:type="dxa"/>
            <w:tcBorders>
              <w:top w:val="single" w:color="auto" w:sz="8" w:space="0"/>
            </w:tcBorders>
            <w:shd w:val="clear" w:color="auto" w:fill="auto"/>
            <w:vAlign w:val="center"/>
          </w:tcPr>
          <w:p>
            <w:pPr>
              <w:spacing w:line="294" w:lineRule="exact"/>
              <w:rPr>
                <w:rFonts w:ascii="仿宋_GB2312" w:hAnsi="仿宋_GB2312" w:eastAsia="仿宋_GB2312" w:cs="仿宋_GB2312"/>
                <w:bCs/>
                <w:sz w:val="24"/>
              </w:rPr>
            </w:pPr>
            <w:r>
              <w:rPr>
                <w:rFonts w:hint="eastAsia" w:ascii="仿宋_GB2312" w:hAnsi="仿宋_GB2312" w:eastAsia="仿宋_GB2312" w:cs="仿宋_GB2312"/>
                <w:bCs/>
                <w:sz w:val="24"/>
              </w:rPr>
              <w:t>规范收线及恢复现场（甲级3分）</w:t>
            </w:r>
          </w:p>
        </w:tc>
        <w:tc>
          <w:tcPr>
            <w:tcW w:w="8640" w:type="dxa"/>
            <w:shd w:val="clear" w:color="auto" w:fill="auto"/>
            <w:vAlign w:val="center"/>
          </w:tcPr>
          <w:p>
            <w:p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仪器停止输出并切断电源后，收线及恢复现场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1673" w:type="dxa"/>
            <w:vMerge w:val="restart"/>
            <w:tcBorders>
              <w:top w:val="single" w:color="auto" w:sz="8" w:space="0"/>
            </w:tcBorders>
            <w:shd w:val="clear" w:color="auto" w:fill="auto"/>
            <w:vAlign w:val="center"/>
          </w:tcPr>
          <w:p>
            <w:pPr>
              <w:spacing w:line="294"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五、原始记录</w:t>
            </w:r>
          </w:p>
        </w:tc>
        <w:tc>
          <w:tcPr>
            <w:tcW w:w="694" w:type="dxa"/>
            <w:tcBorders>
              <w:top w:val="single" w:color="auto" w:sz="8" w:space="0"/>
            </w:tcBorders>
            <w:shd w:val="clear" w:color="auto" w:fill="auto"/>
            <w:vAlign w:val="center"/>
          </w:tcPr>
          <w:p>
            <w:pPr>
              <w:spacing w:line="294" w:lineRule="exact"/>
              <w:jc w:val="center"/>
              <w:rPr>
                <w:rFonts w:ascii="仿宋_GB2312" w:hAnsi="仿宋_GB2312" w:eastAsia="仿宋_GB2312" w:cs="仿宋_GB2312"/>
                <w:sz w:val="24"/>
              </w:rPr>
            </w:pPr>
            <w:r>
              <w:rPr>
                <w:rFonts w:hint="eastAsia" w:ascii="仿宋_GB2312" w:hAnsi="仿宋_GB2312" w:eastAsia="仿宋_GB2312" w:cs="仿宋_GB2312"/>
                <w:sz w:val="24"/>
              </w:rPr>
              <w:t>5.1</w:t>
            </w:r>
          </w:p>
        </w:tc>
        <w:tc>
          <w:tcPr>
            <w:tcW w:w="4254" w:type="dxa"/>
            <w:tcBorders>
              <w:top w:val="single" w:color="auto" w:sz="8" w:space="0"/>
            </w:tcBorders>
            <w:shd w:val="clear" w:color="auto" w:fill="auto"/>
            <w:vAlign w:val="center"/>
          </w:tcPr>
          <w:p>
            <w:pPr>
              <w:spacing w:line="294" w:lineRule="exact"/>
              <w:rPr>
                <w:rFonts w:ascii="黑体" w:hAnsi="黑体" w:eastAsia="黑体" w:cs="黑体"/>
                <w:bCs/>
                <w:sz w:val="24"/>
              </w:rPr>
            </w:pPr>
            <w:r>
              <w:rPr>
                <w:rFonts w:hint="eastAsia" w:ascii="黑体" w:hAnsi="黑体" w:eastAsia="黑体" w:cs="黑体"/>
                <w:bCs/>
                <w:sz w:val="24"/>
              </w:rPr>
              <w:t>*准确、清晰描述建筑物和雷电防护装置状况以及检测情况</w:t>
            </w:r>
          </w:p>
          <w:p>
            <w:pPr>
              <w:spacing w:line="294" w:lineRule="exact"/>
              <w:rPr>
                <w:rFonts w:ascii="黑体" w:hAnsi="黑体" w:eastAsia="黑体" w:cs="黑体"/>
                <w:bCs/>
                <w:sz w:val="24"/>
              </w:rPr>
            </w:pPr>
            <w:r>
              <w:rPr>
                <w:rFonts w:hint="eastAsia" w:ascii="仿宋_GB2312" w:hAnsi="仿宋_GB2312" w:eastAsia="仿宋_GB2312" w:cs="仿宋_GB2312"/>
                <w:bCs/>
                <w:sz w:val="24"/>
              </w:rPr>
              <w:t>（甲级5分/乙级6分）</w:t>
            </w:r>
          </w:p>
        </w:tc>
        <w:tc>
          <w:tcPr>
            <w:tcW w:w="8640" w:type="dxa"/>
            <w:shd w:val="clear" w:color="auto" w:fill="auto"/>
            <w:vAlign w:val="center"/>
          </w:tcPr>
          <w:p>
            <w:pPr>
              <w:numPr>
                <w:ilvl w:val="0"/>
                <w:numId w:val="16"/>
              </w:num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如实、完整反映建筑物及设备、雷电防护装置、检测部位情况</w:t>
            </w:r>
          </w:p>
          <w:p>
            <w:pPr>
              <w:numPr>
                <w:ilvl w:val="0"/>
                <w:numId w:val="16"/>
              </w:num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示意图规范，图例正确，要素齐全</w:t>
            </w:r>
          </w:p>
          <w:p>
            <w:pPr>
              <w:numPr>
                <w:ilvl w:val="0"/>
                <w:numId w:val="16"/>
              </w:num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准确、全面指出防雷安全隐患</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1673" w:type="dxa"/>
            <w:vMerge w:val="continue"/>
            <w:shd w:val="clear" w:color="auto" w:fill="auto"/>
            <w:vAlign w:val="center"/>
          </w:tcPr>
          <w:p>
            <w:pPr>
              <w:spacing w:line="294" w:lineRule="exact"/>
              <w:jc w:val="center"/>
              <w:rPr>
                <w:rFonts w:ascii="仿宋_GB2312" w:hAnsi="仿宋_GB2312" w:eastAsia="仿宋_GB2312" w:cs="仿宋_GB2312"/>
                <w:sz w:val="24"/>
              </w:rPr>
            </w:pPr>
          </w:p>
        </w:tc>
        <w:tc>
          <w:tcPr>
            <w:tcW w:w="694" w:type="dxa"/>
            <w:tcBorders>
              <w:top w:val="single" w:color="auto" w:sz="8" w:space="0"/>
            </w:tcBorders>
            <w:shd w:val="clear" w:color="auto" w:fill="auto"/>
            <w:vAlign w:val="center"/>
          </w:tcPr>
          <w:p>
            <w:pPr>
              <w:spacing w:line="294" w:lineRule="exact"/>
              <w:jc w:val="center"/>
              <w:rPr>
                <w:rFonts w:ascii="仿宋_GB2312" w:hAnsi="仿宋_GB2312" w:eastAsia="仿宋_GB2312" w:cs="仿宋_GB2312"/>
                <w:sz w:val="24"/>
              </w:rPr>
            </w:pPr>
            <w:r>
              <w:rPr>
                <w:rFonts w:hint="eastAsia" w:ascii="仿宋_GB2312" w:hAnsi="仿宋_GB2312" w:eastAsia="仿宋_GB2312" w:cs="仿宋_GB2312"/>
                <w:sz w:val="24"/>
              </w:rPr>
              <w:t>5.2</w:t>
            </w:r>
          </w:p>
        </w:tc>
        <w:tc>
          <w:tcPr>
            <w:tcW w:w="4254" w:type="dxa"/>
            <w:tcBorders>
              <w:top w:val="single" w:color="auto" w:sz="8" w:space="0"/>
            </w:tcBorders>
            <w:shd w:val="clear" w:color="auto" w:fill="auto"/>
            <w:vAlign w:val="center"/>
          </w:tcPr>
          <w:p>
            <w:pPr>
              <w:spacing w:line="294" w:lineRule="exact"/>
              <w:rPr>
                <w:rFonts w:ascii="黑体" w:hAnsi="黑体" w:eastAsia="黑体" w:cs="黑体"/>
                <w:bCs/>
                <w:sz w:val="24"/>
              </w:rPr>
            </w:pPr>
            <w:r>
              <w:rPr>
                <w:rFonts w:hint="eastAsia" w:ascii="黑体" w:hAnsi="黑体" w:eastAsia="黑体" w:cs="黑体"/>
                <w:bCs/>
                <w:sz w:val="24"/>
              </w:rPr>
              <w:t>*如实、完整记录检查和测试数据以及其他相关信息</w:t>
            </w:r>
            <w:r>
              <w:rPr>
                <w:rFonts w:hint="eastAsia" w:ascii="仿宋_GB2312" w:hAnsi="仿宋_GB2312" w:eastAsia="仿宋_GB2312" w:cs="仿宋_GB2312"/>
                <w:bCs/>
                <w:sz w:val="24"/>
              </w:rPr>
              <w:t>（甲级5分/乙级6分）</w:t>
            </w:r>
          </w:p>
        </w:tc>
        <w:tc>
          <w:tcPr>
            <w:tcW w:w="8640" w:type="dxa"/>
            <w:shd w:val="clear" w:color="auto" w:fill="auto"/>
            <w:vAlign w:val="center"/>
          </w:tcPr>
          <w:p>
            <w:pPr>
              <w:numPr>
                <w:ilvl w:val="0"/>
                <w:numId w:val="17"/>
              </w:num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及时记录检测数据，不事后补记</w:t>
            </w:r>
          </w:p>
          <w:p>
            <w:pPr>
              <w:numPr>
                <w:ilvl w:val="0"/>
                <w:numId w:val="17"/>
              </w:num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如实记录检测数据，不捏造数据</w:t>
            </w:r>
          </w:p>
          <w:p>
            <w:pPr>
              <w:numPr>
                <w:ilvl w:val="0"/>
                <w:numId w:val="17"/>
              </w:num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相关信息填写齐全、完整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1673" w:type="dxa"/>
            <w:vMerge w:val="continue"/>
            <w:shd w:val="clear" w:color="auto" w:fill="auto"/>
            <w:vAlign w:val="center"/>
          </w:tcPr>
          <w:p>
            <w:pPr>
              <w:spacing w:line="294" w:lineRule="exact"/>
              <w:jc w:val="center"/>
              <w:rPr>
                <w:rFonts w:ascii="仿宋_GB2312" w:hAnsi="仿宋_GB2312" w:eastAsia="仿宋_GB2312" w:cs="仿宋_GB2312"/>
                <w:sz w:val="24"/>
              </w:rPr>
            </w:pPr>
          </w:p>
        </w:tc>
        <w:tc>
          <w:tcPr>
            <w:tcW w:w="694" w:type="dxa"/>
            <w:tcBorders>
              <w:top w:val="single" w:color="auto" w:sz="8" w:space="0"/>
            </w:tcBorders>
            <w:shd w:val="clear" w:color="auto" w:fill="auto"/>
            <w:vAlign w:val="center"/>
          </w:tcPr>
          <w:p>
            <w:pPr>
              <w:spacing w:line="294" w:lineRule="exact"/>
              <w:jc w:val="center"/>
              <w:rPr>
                <w:rFonts w:ascii="仿宋_GB2312" w:hAnsi="仿宋_GB2312" w:eastAsia="仿宋_GB2312" w:cs="仿宋_GB2312"/>
                <w:sz w:val="24"/>
              </w:rPr>
            </w:pPr>
            <w:r>
              <w:rPr>
                <w:rFonts w:hint="eastAsia" w:ascii="仿宋_GB2312" w:hAnsi="仿宋_GB2312" w:eastAsia="仿宋_GB2312" w:cs="仿宋_GB2312"/>
                <w:sz w:val="24"/>
              </w:rPr>
              <w:t>5.3</w:t>
            </w:r>
          </w:p>
        </w:tc>
        <w:tc>
          <w:tcPr>
            <w:tcW w:w="4254" w:type="dxa"/>
            <w:tcBorders>
              <w:top w:val="single" w:color="auto" w:sz="8" w:space="0"/>
            </w:tcBorders>
            <w:shd w:val="clear" w:color="auto" w:fill="auto"/>
            <w:vAlign w:val="center"/>
          </w:tcPr>
          <w:p>
            <w:pPr>
              <w:spacing w:line="294" w:lineRule="exact"/>
              <w:rPr>
                <w:rFonts w:ascii="仿宋_GB2312" w:hAnsi="仿宋_GB2312" w:eastAsia="仿宋_GB2312" w:cs="仿宋_GB2312"/>
                <w:bCs/>
                <w:sz w:val="24"/>
              </w:rPr>
            </w:pPr>
            <w:r>
              <w:rPr>
                <w:rFonts w:hint="eastAsia" w:ascii="仿宋_GB2312" w:hAnsi="仿宋_GB2312" w:eastAsia="仿宋_GB2312" w:cs="仿宋_GB2312"/>
                <w:bCs/>
                <w:sz w:val="24"/>
              </w:rPr>
              <w:t>数据记录符合标准规范要求，数据修约正确（甲级3分/乙级5分）</w:t>
            </w:r>
          </w:p>
        </w:tc>
        <w:tc>
          <w:tcPr>
            <w:tcW w:w="8640" w:type="dxa"/>
            <w:shd w:val="clear" w:color="auto" w:fill="auto"/>
            <w:vAlign w:val="center"/>
          </w:tcPr>
          <w:p>
            <w:pPr>
              <w:spacing w:line="294" w:lineRule="exact"/>
              <w:rPr>
                <w:rFonts w:ascii="仿宋_GB2312" w:hAnsi="仿宋_GB2312" w:eastAsia="仿宋_GB2312" w:cs="仿宋_GB2312"/>
                <w:sz w:val="24"/>
              </w:rPr>
            </w:pPr>
            <w:r>
              <w:rPr>
                <w:rFonts w:hint="eastAsia" w:ascii="仿宋_GB2312" w:hAnsi="仿宋_GB2312" w:eastAsia="仿宋_GB2312" w:cs="仿宋_GB2312"/>
                <w:sz w:val="24"/>
              </w:rPr>
              <w:t>按照标准规范进行数据修约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1673" w:type="dxa"/>
            <w:vMerge w:val="continue"/>
            <w:shd w:val="clear" w:color="auto" w:fill="auto"/>
            <w:vAlign w:val="center"/>
          </w:tcPr>
          <w:p>
            <w:pPr>
              <w:spacing w:line="294" w:lineRule="exact"/>
              <w:jc w:val="center"/>
              <w:rPr>
                <w:rFonts w:ascii="仿宋_GB2312" w:hAnsi="仿宋_GB2312" w:eastAsia="仿宋_GB2312" w:cs="仿宋_GB2312"/>
                <w:sz w:val="24"/>
              </w:rPr>
            </w:pPr>
          </w:p>
        </w:tc>
        <w:tc>
          <w:tcPr>
            <w:tcW w:w="694" w:type="dxa"/>
            <w:tcBorders>
              <w:top w:val="single" w:color="auto" w:sz="8" w:space="0"/>
            </w:tcBorders>
            <w:shd w:val="clear" w:color="auto" w:fill="auto"/>
            <w:vAlign w:val="center"/>
          </w:tcPr>
          <w:p>
            <w:pPr>
              <w:spacing w:line="294" w:lineRule="exact"/>
              <w:jc w:val="center"/>
              <w:rPr>
                <w:rFonts w:ascii="仿宋_GB2312" w:hAnsi="仿宋_GB2312" w:eastAsia="仿宋_GB2312" w:cs="仿宋_GB2312"/>
                <w:sz w:val="24"/>
              </w:rPr>
            </w:pPr>
            <w:r>
              <w:rPr>
                <w:rFonts w:hint="eastAsia" w:ascii="仿宋_GB2312" w:hAnsi="仿宋_GB2312" w:eastAsia="仿宋_GB2312" w:cs="仿宋_GB2312"/>
                <w:sz w:val="24"/>
              </w:rPr>
              <w:t>5.4</w:t>
            </w:r>
          </w:p>
        </w:tc>
        <w:tc>
          <w:tcPr>
            <w:tcW w:w="4254" w:type="dxa"/>
            <w:tcBorders>
              <w:top w:val="single" w:color="auto" w:sz="8" w:space="0"/>
            </w:tcBorders>
            <w:shd w:val="clear" w:color="auto" w:fill="auto"/>
            <w:vAlign w:val="center"/>
          </w:tcPr>
          <w:p>
            <w:pPr>
              <w:spacing w:line="294" w:lineRule="exact"/>
              <w:rPr>
                <w:rFonts w:ascii="仿宋_GB2312" w:hAnsi="仿宋_GB2312" w:eastAsia="仿宋_GB2312" w:cs="仿宋_GB2312"/>
                <w:bCs/>
                <w:sz w:val="24"/>
              </w:rPr>
            </w:pPr>
            <w:r>
              <w:rPr>
                <w:rFonts w:hint="eastAsia" w:ascii="仿宋_GB2312" w:hAnsi="仿宋_GB2312" w:eastAsia="仿宋_GB2312" w:cs="仿宋_GB2312"/>
                <w:bCs/>
                <w:sz w:val="24"/>
              </w:rPr>
              <w:t>记录规范、清晰、完整</w:t>
            </w:r>
          </w:p>
          <w:p>
            <w:pPr>
              <w:spacing w:line="294" w:lineRule="exact"/>
              <w:rPr>
                <w:rFonts w:ascii="仿宋_GB2312" w:hAnsi="仿宋_GB2312" w:eastAsia="仿宋_GB2312" w:cs="仿宋_GB2312"/>
                <w:bCs/>
                <w:sz w:val="24"/>
              </w:rPr>
            </w:pPr>
            <w:r>
              <w:rPr>
                <w:rFonts w:hint="eastAsia" w:ascii="仿宋_GB2312" w:hAnsi="仿宋_GB2312" w:eastAsia="仿宋_GB2312" w:cs="仿宋_GB2312"/>
                <w:bCs/>
                <w:sz w:val="24"/>
              </w:rPr>
              <w:t>（甲级3分/乙级5分）</w:t>
            </w:r>
          </w:p>
        </w:tc>
        <w:tc>
          <w:tcPr>
            <w:tcW w:w="8640" w:type="dxa"/>
            <w:shd w:val="clear" w:color="auto" w:fill="auto"/>
            <w:vAlign w:val="center"/>
          </w:tcPr>
          <w:p>
            <w:pPr>
              <w:numPr>
                <w:ilvl w:val="0"/>
                <w:numId w:val="18"/>
              </w:num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采用蓝色或黑色签字笔填写，记录清晰、整洁</w:t>
            </w:r>
          </w:p>
          <w:p>
            <w:pPr>
              <w:numPr>
                <w:ilvl w:val="0"/>
                <w:numId w:val="18"/>
              </w:num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有唯一性编号，页码连续、正确、完整</w:t>
            </w:r>
          </w:p>
          <w:p>
            <w:pPr>
              <w:numPr>
                <w:ilvl w:val="0"/>
                <w:numId w:val="18"/>
              </w:num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正确、完整记录所使用的检测仪器设备信息</w:t>
            </w:r>
          </w:p>
          <w:p>
            <w:pPr>
              <w:numPr>
                <w:ilvl w:val="0"/>
                <w:numId w:val="18"/>
              </w:num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如实记录检测现场天气及环境状况</w:t>
            </w:r>
          </w:p>
          <w:p>
            <w:pPr>
              <w:numPr>
                <w:ilvl w:val="0"/>
                <w:numId w:val="18"/>
              </w:num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使用“杠改法”修改记录，不存在涂、擦、刮、贴等痕迹</w:t>
            </w:r>
          </w:p>
          <w:p>
            <w:pPr>
              <w:numPr>
                <w:ilvl w:val="0"/>
                <w:numId w:val="18"/>
              </w:num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检测人、校核人、受检单位现场负责人签名正确、完整</w:t>
            </w:r>
          </w:p>
          <w:p>
            <w:pPr>
              <w:numPr>
                <w:ilvl w:val="0"/>
                <w:numId w:val="18"/>
              </w:num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不存在空白栏未处理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1673" w:type="dxa"/>
            <w:vMerge w:val="restart"/>
            <w:tcBorders>
              <w:top w:val="single" w:color="auto" w:sz="8" w:space="0"/>
            </w:tcBorders>
            <w:shd w:val="clear" w:color="auto" w:fill="auto"/>
            <w:vAlign w:val="center"/>
          </w:tcPr>
          <w:p>
            <w:pPr>
              <w:spacing w:line="294"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六、检测报告</w:t>
            </w:r>
          </w:p>
        </w:tc>
        <w:tc>
          <w:tcPr>
            <w:tcW w:w="694" w:type="dxa"/>
            <w:tcBorders>
              <w:top w:val="single" w:color="auto" w:sz="8" w:space="0"/>
              <w:bottom w:val="single" w:color="auto" w:sz="8" w:space="0"/>
            </w:tcBorders>
            <w:shd w:val="clear" w:color="auto" w:fill="auto"/>
            <w:vAlign w:val="center"/>
          </w:tcPr>
          <w:p>
            <w:pPr>
              <w:spacing w:line="294"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6.1</w:t>
            </w:r>
          </w:p>
        </w:tc>
        <w:tc>
          <w:tcPr>
            <w:tcW w:w="4254" w:type="dxa"/>
            <w:tcBorders>
              <w:top w:val="single" w:color="auto" w:sz="8" w:space="0"/>
              <w:bottom w:val="single" w:color="auto" w:sz="8" w:space="0"/>
            </w:tcBorders>
            <w:shd w:val="clear" w:color="auto" w:fill="auto"/>
            <w:vAlign w:val="center"/>
          </w:tcPr>
          <w:p>
            <w:pPr>
              <w:spacing w:line="294" w:lineRule="exact"/>
              <w:rPr>
                <w:rFonts w:ascii="黑体" w:hAnsi="黑体" w:eastAsia="黑体" w:cs="黑体"/>
                <w:bCs/>
                <w:sz w:val="24"/>
              </w:rPr>
            </w:pPr>
            <w:r>
              <w:rPr>
                <w:rFonts w:hint="eastAsia" w:ascii="黑体" w:hAnsi="黑体" w:eastAsia="黑体" w:cs="黑体"/>
                <w:bCs/>
                <w:sz w:val="24"/>
              </w:rPr>
              <w:t>*正确引用标准规范，检测数据结果判定符合标准规范要求</w:t>
            </w:r>
          </w:p>
          <w:p>
            <w:pPr>
              <w:spacing w:line="294" w:lineRule="exact"/>
              <w:rPr>
                <w:rFonts w:ascii="黑体" w:hAnsi="黑体" w:eastAsia="黑体" w:cs="黑体"/>
                <w:bCs/>
                <w:sz w:val="24"/>
              </w:rPr>
            </w:pPr>
            <w:r>
              <w:rPr>
                <w:rFonts w:hint="eastAsia" w:ascii="仿宋_GB2312" w:hAnsi="仿宋_GB2312" w:eastAsia="仿宋_GB2312" w:cs="仿宋_GB2312"/>
                <w:bCs/>
                <w:sz w:val="24"/>
              </w:rPr>
              <w:t>（甲级5分/乙级6分）</w:t>
            </w:r>
          </w:p>
        </w:tc>
        <w:tc>
          <w:tcPr>
            <w:tcW w:w="8640" w:type="dxa"/>
            <w:shd w:val="clear" w:color="auto" w:fill="auto"/>
            <w:vAlign w:val="center"/>
          </w:tcPr>
          <w:p>
            <w:pPr>
              <w:numPr>
                <w:ilvl w:val="0"/>
                <w:numId w:val="19"/>
              </w:num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建筑物防雷装置检测须引用GB/T 21431-2015《建筑物防雷装置检测技术规范》</w:t>
            </w:r>
          </w:p>
          <w:p>
            <w:pPr>
              <w:numPr>
                <w:ilvl w:val="0"/>
                <w:numId w:val="19"/>
              </w:num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大地网检测须引用DL/T 475-2017《接地装置特性参数测量导则》</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77" w:hRule="atLeast"/>
          <w:jc w:val="center"/>
        </w:trPr>
        <w:tc>
          <w:tcPr>
            <w:tcW w:w="1673" w:type="dxa"/>
            <w:vMerge w:val="continue"/>
            <w:tcBorders>
              <w:top w:val="single" w:color="auto" w:sz="8" w:space="0"/>
            </w:tcBorders>
            <w:shd w:val="clear" w:color="auto" w:fill="auto"/>
            <w:vAlign w:val="center"/>
          </w:tcPr>
          <w:p>
            <w:pPr>
              <w:spacing w:line="294" w:lineRule="exact"/>
              <w:jc w:val="center"/>
              <w:rPr>
                <w:rFonts w:ascii="仿宋_GB2312" w:hAnsi="仿宋_GB2312" w:eastAsia="仿宋_GB2312" w:cs="仿宋_GB2312"/>
                <w:sz w:val="24"/>
              </w:rPr>
            </w:pPr>
          </w:p>
        </w:tc>
        <w:tc>
          <w:tcPr>
            <w:tcW w:w="694" w:type="dxa"/>
            <w:tcBorders>
              <w:top w:val="single" w:color="auto" w:sz="8" w:space="0"/>
              <w:bottom w:val="single" w:color="auto" w:sz="8" w:space="0"/>
            </w:tcBorders>
            <w:shd w:val="clear" w:color="auto" w:fill="auto"/>
            <w:vAlign w:val="center"/>
          </w:tcPr>
          <w:p>
            <w:pPr>
              <w:spacing w:line="294"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6.2</w:t>
            </w:r>
          </w:p>
        </w:tc>
        <w:tc>
          <w:tcPr>
            <w:tcW w:w="4254" w:type="dxa"/>
            <w:tcBorders>
              <w:top w:val="single" w:color="auto" w:sz="8" w:space="0"/>
              <w:bottom w:val="single" w:color="auto" w:sz="8" w:space="0"/>
            </w:tcBorders>
            <w:shd w:val="clear" w:color="auto" w:fill="auto"/>
            <w:vAlign w:val="center"/>
          </w:tcPr>
          <w:p>
            <w:pPr>
              <w:spacing w:line="294" w:lineRule="exact"/>
              <w:rPr>
                <w:rFonts w:ascii="黑体" w:hAnsi="黑体" w:eastAsia="黑体" w:cs="黑体"/>
                <w:bCs/>
                <w:sz w:val="24"/>
              </w:rPr>
            </w:pPr>
            <w:r>
              <w:rPr>
                <w:rFonts w:hint="eastAsia" w:ascii="黑体" w:hAnsi="黑体" w:eastAsia="黑体" w:cs="黑体"/>
                <w:bCs/>
                <w:sz w:val="24"/>
              </w:rPr>
              <w:t>*正确划分防雷类别，正确、完整填写相关信息，信息与原始记录相一致，数据分析、处理符合标准规范要求</w:t>
            </w:r>
          </w:p>
          <w:p>
            <w:pPr>
              <w:spacing w:line="294" w:lineRule="exact"/>
              <w:rPr>
                <w:rFonts w:ascii="黑体" w:hAnsi="黑体" w:eastAsia="黑体" w:cs="黑体"/>
                <w:bCs/>
                <w:sz w:val="24"/>
              </w:rPr>
            </w:pPr>
            <w:r>
              <w:rPr>
                <w:rFonts w:hint="eastAsia" w:ascii="仿宋_GB2312" w:hAnsi="仿宋_GB2312" w:eastAsia="仿宋_GB2312" w:cs="仿宋_GB2312"/>
                <w:bCs/>
                <w:sz w:val="24"/>
              </w:rPr>
              <w:t>（甲级5分/乙级6分）</w:t>
            </w:r>
          </w:p>
        </w:tc>
        <w:tc>
          <w:tcPr>
            <w:tcW w:w="8640" w:type="dxa"/>
            <w:shd w:val="clear" w:color="auto" w:fill="auto"/>
            <w:vAlign w:val="center"/>
          </w:tcPr>
          <w:p>
            <w:pPr>
              <w:numPr>
                <w:ilvl w:val="0"/>
                <w:numId w:val="20"/>
              </w:num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正确划分防雷分类</w:t>
            </w:r>
          </w:p>
          <w:p>
            <w:pPr>
              <w:numPr>
                <w:ilvl w:val="0"/>
                <w:numId w:val="20"/>
              </w:num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信息填写齐全、完整</w:t>
            </w:r>
          </w:p>
          <w:p>
            <w:pPr>
              <w:numPr>
                <w:ilvl w:val="0"/>
                <w:numId w:val="20"/>
              </w:num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数据与原始记录相一致</w:t>
            </w:r>
          </w:p>
          <w:p>
            <w:pPr>
              <w:numPr>
                <w:ilvl w:val="0"/>
                <w:numId w:val="20"/>
              </w:num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土壤电阻率等数据处理正确</w:t>
            </w:r>
          </w:p>
          <w:p>
            <w:pPr>
              <w:numPr>
                <w:ilvl w:val="0"/>
                <w:numId w:val="20"/>
              </w:num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单项检测数据的结果判定正确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1673" w:type="dxa"/>
            <w:vMerge w:val="continue"/>
            <w:tcBorders>
              <w:top w:val="single" w:color="auto" w:sz="8" w:space="0"/>
            </w:tcBorders>
            <w:shd w:val="clear" w:color="auto" w:fill="auto"/>
            <w:vAlign w:val="center"/>
          </w:tcPr>
          <w:p>
            <w:pPr>
              <w:spacing w:line="294" w:lineRule="exact"/>
              <w:jc w:val="center"/>
              <w:rPr>
                <w:rFonts w:ascii="仿宋_GB2312" w:hAnsi="仿宋_GB2312" w:eastAsia="仿宋_GB2312" w:cs="仿宋_GB2312"/>
                <w:sz w:val="24"/>
              </w:rPr>
            </w:pPr>
          </w:p>
        </w:tc>
        <w:tc>
          <w:tcPr>
            <w:tcW w:w="694" w:type="dxa"/>
            <w:tcBorders>
              <w:top w:val="single" w:color="auto" w:sz="8" w:space="0"/>
              <w:bottom w:val="single" w:color="auto" w:sz="8" w:space="0"/>
            </w:tcBorders>
            <w:shd w:val="clear" w:color="auto" w:fill="auto"/>
            <w:vAlign w:val="center"/>
          </w:tcPr>
          <w:p>
            <w:pPr>
              <w:spacing w:line="294"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6.3</w:t>
            </w:r>
          </w:p>
        </w:tc>
        <w:tc>
          <w:tcPr>
            <w:tcW w:w="4254" w:type="dxa"/>
            <w:tcBorders>
              <w:top w:val="single" w:color="auto" w:sz="8" w:space="0"/>
              <w:bottom w:val="single" w:color="auto" w:sz="8" w:space="0"/>
            </w:tcBorders>
            <w:shd w:val="clear" w:color="auto" w:fill="auto"/>
            <w:vAlign w:val="center"/>
          </w:tcPr>
          <w:p>
            <w:pPr>
              <w:spacing w:line="294" w:lineRule="exact"/>
              <w:rPr>
                <w:rFonts w:ascii="黑体" w:hAnsi="黑体" w:eastAsia="黑体" w:cs="黑体"/>
                <w:bCs/>
                <w:sz w:val="24"/>
              </w:rPr>
            </w:pPr>
            <w:r>
              <w:rPr>
                <w:rFonts w:hint="eastAsia" w:ascii="黑体" w:hAnsi="黑体" w:eastAsia="黑体" w:cs="黑体"/>
                <w:bCs/>
                <w:sz w:val="24"/>
              </w:rPr>
              <w:t>*依据检测数据，准确作出检测结论</w:t>
            </w:r>
          </w:p>
          <w:p>
            <w:pPr>
              <w:spacing w:line="294" w:lineRule="exact"/>
              <w:rPr>
                <w:rFonts w:ascii="黑体" w:hAnsi="黑体" w:eastAsia="黑体" w:cs="黑体"/>
                <w:bCs/>
                <w:sz w:val="24"/>
              </w:rPr>
            </w:pPr>
            <w:r>
              <w:rPr>
                <w:rFonts w:hint="eastAsia" w:ascii="仿宋_GB2312" w:hAnsi="仿宋_GB2312" w:eastAsia="仿宋_GB2312" w:cs="仿宋_GB2312"/>
                <w:bCs/>
                <w:sz w:val="24"/>
              </w:rPr>
              <w:t>（甲级5分/乙级6分）</w:t>
            </w:r>
          </w:p>
        </w:tc>
        <w:tc>
          <w:tcPr>
            <w:tcW w:w="8640" w:type="dxa"/>
            <w:shd w:val="clear" w:color="auto" w:fill="auto"/>
            <w:vAlign w:val="center"/>
          </w:tcPr>
          <w:p>
            <w:pPr>
              <w:numPr>
                <w:ilvl w:val="0"/>
                <w:numId w:val="21"/>
              </w:numPr>
              <w:spacing w:line="294" w:lineRule="exact"/>
              <w:rPr>
                <w:rFonts w:ascii="仿宋_GB2312" w:hAnsi="仿宋_GB2312" w:eastAsia="仿宋_GB2312" w:cs="仿宋_GB2312"/>
                <w:sz w:val="24"/>
              </w:rPr>
            </w:pPr>
            <w:r>
              <w:rPr>
                <w:rFonts w:hint="eastAsia" w:ascii="仿宋_GB2312" w:hAnsi="仿宋_GB2312" w:eastAsia="仿宋_GB2312" w:cs="仿宋_GB2312"/>
                <w:sz w:val="24"/>
              </w:rPr>
              <w:t>检测结论与检测数据相符</w:t>
            </w:r>
          </w:p>
          <w:p>
            <w:pPr>
              <w:numPr>
                <w:ilvl w:val="0"/>
                <w:numId w:val="21"/>
              </w:numPr>
              <w:spacing w:line="294" w:lineRule="exact"/>
              <w:rPr>
                <w:rFonts w:ascii="仿宋_GB2312" w:hAnsi="仿宋_GB2312" w:eastAsia="仿宋_GB2312" w:cs="仿宋_GB2312"/>
                <w:sz w:val="24"/>
              </w:rPr>
            </w:pPr>
            <w:r>
              <w:rPr>
                <w:rFonts w:hint="eastAsia" w:ascii="仿宋_GB2312" w:hAnsi="仿宋_GB2312" w:eastAsia="仿宋_GB2312" w:cs="仿宋_GB2312"/>
                <w:sz w:val="24"/>
              </w:rPr>
              <w:t>检测结论表述完整、全面</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25" w:hRule="atLeast"/>
          <w:jc w:val="center"/>
        </w:trPr>
        <w:tc>
          <w:tcPr>
            <w:tcW w:w="1673" w:type="dxa"/>
            <w:vMerge w:val="continue"/>
            <w:shd w:val="clear" w:color="auto" w:fill="auto"/>
            <w:vAlign w:val="center"/>
          </w:tcPr>
          <w:p>
            <w:pPr>
              <w:spacing w:line="294" w:lineRule="exact"/>
              <w:jc w:val="center"/>
              <w:rPr>
                <w:rFonts w:ascii="仿宋_GB2312" w:hAnsi="仿宋_GB2312" w:eastAsia="仿宋_GB2312" w:cs="仿宋_GB2312"/>
                <w:sz w:val="24"/>
              </w:rPr>
            </w:pPr>
          </w:p>
        </w:tc>
        <w:tc>
          <w:tcPr>
            <w:tcW w:w="694" w:type="dxa"/>
            <w:tcBorders>
              <w:top w:val="single" w:color="auto" w:sz="8" w:space="0"/>
              <w:bottom w:val="single" w:color="auto" w:sz="8" w:space="0"/>
            </w:tcBorders>
            <w:shd w:val="clear" w:color="auto" w:fill="auto"/>
            <w:vAlign w:val="center"/>
          </w:tcPr>
          <w:p>
            <w:pPr>
              <w:spacing w:line="294"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6.4</w:t>
            </w:r>
          </w:p>
        </w:tc>
        <w:tc>
          <w:tcPr>
            <w:tcW w:w="4254" w:type="dxa"/>
            <w:tcBorders>
              <w:top w:val="single" w:color="auto" w:sz="8" w:space="0"/>
              <w:bottom w:val="single" w:color="auto" w:sz="8" w:space="0"/>
            </w:tcBorders>
            <w:shd w:val="clear" w:color="auto" w:fill="auto"/>
            <w:vAlign w:val="center"/>
          </w:tcPr>
          <w:p>
            <w:pPr>
              <w:spacing w:line="294" w:lineRule="exact"/>
              <w:rPr>
                <w:rFonts w:ascii="仿宋_GB2312" w:hAnsi="仿宋_GB2312" w:eastAsia="仿宋_GB2312" w:cs="仿宋_GB2312"/>
                <w:bCs/>
                <w:sz w:val="24"/>
              </w:rPr>
            </w:pPr>
            <w:r>
              <w:rPr>
                <w:rFonts w:hint="eastAsia" w:ascii="仿宋_GB2312" w:hAnsi="仿宋_GB2312" w:eastAsia="仿宋_GB2312" w:cs="仿宋_GB2312"/>
                <w:bCs/>
                <w:sz w:val="24"/>
              </w:rPr>
              <w:t>检测报告规范、清晰、完整</w:t>
            </w:r>
          </w:p>
          <w:p>
            <w:pPr>
              <w:spacing w:line="294" w:lineRule="exact"/>
              <w:rPr>
                <w:rFonts w:ascii="仿宋_GB2312" w:hAnsi="仿宋_GB2312" w:eastAsia="仿宋_GB2312" w:cs="仿宋_GB2312"/>
                <w:bCs/>
                <w:sz w:val="24"/>
              </w:rPr>
            </w:pPr>
            <w:r>
              <w:rPr>
                <w:rFonts w:hint="eastAsia" w:ascii="仿宋_GB2312" w:hAnsi="仿宋_GB2312" w:eastAsia="仿宋_GB2312" w:cs="仿宋_GB2312"/>
                <w:bCs/>
                <w:sz w:val="24"/>
              </w:rPr>
              <w:t>（甲级3分/乙级5分）</w:t>
            </w:r>
          </w:p>
        </w:tc>
        <w:tc>
          <w:tcPr>
            <w:tcW w:w="8640" w:type="dxa"/>
            <w:tcBorders>
              <w:bottom w:val="single" w:color="auto" w:sz="8" w:space="0"/>
            </w:tcBorders>
            <w:shd w:val="clear" w:color="auto" w:fill="auto"/>
            <w:vAlign w:val="center"/>
          </w:tcPr>
          <w:p>
            <w:pPr>
              <w:numPr>
                <w:ilvl w:val="0"/>
                <w:numId w:val="22"/>
              </w:num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有唯一性编号，页码连续、正确、完整</w:t>
            </w:r>
          </w:p>
          <w:p>
            <w:pPr>
              <w:numPr>
                <w:ilvl w:val="0"/>
                <w:numId w:val="22"/>
              </w:num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封面、检测结论、骑缝处正确加盖印章</w:t>
            </w:r>
          </w:p>
          <w:p>
            <w:pPr>
              <w:numPr>
                <w:ilvl w:val="0"/>
                <w:numId w:val="22"/>
              </w:num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正确、完整填写被检测项目信息</w:t>
            </w:r>
          </w:p>
          <w:p>
            <w:pPr>
              <w:numPr>
                <w:ilvl w:val="0"/>
                <w:numId w:val="22"/>
              </w:num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检测日期和有效期符合相关法律法规要求</w:t>
            </w:r>
          </w:p>
          <w:p>
            <w:pPr>
              <w:numPr>
                <w:ilvl w:val="0"/>
                <w:numId w:val="22"/>
              </w:num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检测人、审核人、技术负责人签字正确、完整</w:t>
            </w:r>
          </w:p>
          <w:p>
            <w:pPr>
              <w:numPr>
                <w:ilvl w:val="0"/>
                <w:numId w:val="22"/>
              </w:numPr>
              <w:spacing w:line="294" w:lineRule="exact"/>
              <w:jc w:val="left"/>
              <w:rPr>
                <w:rFonts w:ascii="仿宋_GB2312" w:hAnsi="仿宋_GB2312" w:eastAsia="仿宋_GB2312" w:cs="仿宋_GB2312"/>
                <w:sz w:val="24"/>
              </w:rPr>
            </w:pPr>
            <w:r>
              <w:rPr>
                <w:rFonts w:hint="eastAsia" w:ascii="仿宋_GB2312" w:hAnsi="仿宋_GB2312" w:eastAsia="仿宋_GB2312" w:cs="仿宋_GB2312"/>
                <w:sz w:val="24"/>
              </w:rPr>
              <w:t>不存在空白栏未处理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1673" w:type="dxa"/>
            <w:vMerge w:val="restart"/>
            <w:shd w:val="clear" w:color="auto" w:fill="auto"/>
            <w:vAlign w:val="center"/>
          </w:tcPr>
          <w:p>
            <w:pPr>
              <w:spacing w:line="294"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七、一票否决</w:t>
            </w:r>
          </w:p>
        </w:tc>
        <w:tc>
          <w:tcPr>
            <w:tcW w:w="694" w:type="dxa"/>
            <w:tcBorders>
              <w:top w:val="single" w:color="auto" w:sz="8" w:space="0"/>
              <w:bottom w:val="single" w:color="auto" w:sz="8" w:space="0"/>
            </w:tcBorders>
            <w:shd w:val="clear" w:color="auto" w:fill="auto"/>
            <w:vAlign w:val="center"/>
          </w:tcPr>
          <w:p>
            <w:pPr>
              <w:spacing w:line="294"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7.1</w:t>
            </w:r>
          </w:p>
        </w:tc>
        <w:tc>
          <w:tcPr>
            <w:tcW w:w="12894" w:type="dxa"/>
            <w:gridSpan w:val="2"/>
            <w:tcBorders>
              <w:top w:val="single" w:color="auto" w:sz="8" w:space="0"/>
              <w:bottom w:val="single" w:color="auto" w:sz="8" w:space="0"/>
            </w:tcBorders>
            <w:shd w:val="clear" w:color="auto" w:fill="auto"/>
            <w:vAlign w:val="center"/>
          </w:tcPr>
          <w:p>
            <w:pPr>
              <w:spacing w:line="294" w:lineRule="exact"/>
              <w:rPr>
                <w:rFonts w:ascii="仿宋_GB2312" w:hAnsi="仿宋_GB2312" w:eastAsia="仿宋_GB2312" w:cs="仿宋_GB2312"/>
                <w:sz w:val="24"/>
              </w:rPr>
            </w:pPr>
            <w:r>
              <w:rPr>
                <w:rFonts w:hint="eastAsia" w:ascii="仿宋_GB2312" w:hAnsi="仿宋_GB2312" w:eastAsia="仿宋_GB2312" w:cs="仿宋_GB2312"/>
                <w:bCs/>
                <w:sz w:val="24"/>
              </w:rPr>
              <w:t>存在被考核人员未到场或有冒名顶替、欺骗等行为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1673" w:type="dxa"/>
            <w:vMerge w:val="continue"/>
            <w:shd w:val="clear" w:color="auto" w:fill="auto"/>
            <w:vAlign w:val="center"/>
          </w:tcPr>
          <w:p>
            <w:pPr>
              <w:spacing w:line="294" w:lineRule="exact"/>
              <w:jc w:val="center"/>
              <w:rPr>
                <w:rFonts w:ascii="仿宋_GB2312" w:hAnsi="仿宋_GB2312" w:eastAsia="仿宋_GB2312" w:cs="仿宋_GB2312"/>
                <w:b/>
                <w:bCs/>
                <w:sz w:val="24"/>
              </w:rPr>
            </w:pPr>
          </w:p>
        </w:tc>
        <w:tc>
          <w:tcPr>
            <w:tcW w:w="694" w:type="dxa"/>
            <w:tcBorders>
              <w:top w:val="single" w:color="auto" w:sz="8" w:space="0"/>
              <w:bottom w:val="single" w:color="auto" w:sz="8" w:space="0"/>
            </w:tcBorders>
            <w:shd w:val="clear" w:color="auto" w:fill="auto"/>
            <w:vAlign w:val="center"/>
          </w:tcPr>
          <w:p>
            <w:pPr>
              <w:spacing w:line="294"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7.2</w:t>
            </w:r>
          </w:p>
        </w:tc>
        <w:tc>
          <w:tcPr>
            <w:tcW w:w="12894" w:type="dxa"/>
            <w:gridSpan w:val="2"/>
            <w:tcBorders>
              <w:top w:val="single" w:color="auto" w:sz="8" w:space="0"/>
              <w:bottom w:val="single" w:color="auto" w:sz="8" w:space="0"/>
            </w:tcBorders>
            <w:shd w:val="clear" w:color="auto" w:fill="auto"/>
            <w:vAlign w:val="center"/>
          </w:tcPr>
          <w:p>
            <w:pPr>
              <w:spacing w:line="294" w:lineRule="exact"/>
              <w:rPr>
                <w:rFonts w:ascii="仿宋_GB2312" w:hAnsi="仿宋_GB2312" w:eastAsia="仿宋_GB2312" w:cs="仿宋_GB2312"/>
                <w:sz w:val="24"/>
              </w:rPr>
            </w:pPr>
            <w:r>
              <w:rPr>
                <w:rFonts w:hint="eastAsia" w:ascii="仿宋_GB2312" w:hAnsi="仿宋_GB2312" w:eastAsia="仿宋_GB2312" w:cs="仿宋_GB2312"/>
                <w:bCs/>
                <w:sz w:val="24"/>
              </w:rPr>
              <w:t>存在故意扰乱考核现场秩序的行为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1673" w:type="dxa"/>
            <w:vMerge w:val="continue"/>
            <w:shd w:val="clear" w:color="auto" w:fill="auto"/>
            <w:vAlign w:val="center"/>
          </w:tcPr>
          <w:p>
            <w:pPr>
              <w:spacing w:line="294" w:lineRule="exact"/>
              <w:jc w:val="center"/>
              <w:rPr>
                <w:rFonts w:ascii="仿宋_GB2312" w:hAnsi="仿宋_GB2312" w:eastAsia="仿宋_GB2312" w:cs="仿宋_GB2312"/>
                <w:sz w:val="24"/>
              </w:rPr>
            </w:pPr>
          </w:p>
        </w:tc>
        <w:tc>
          <w:tcPr>
            <w:tcW w:w="694" w:type="dxa"/>
            <w:tcBorders>
              <w:top w:val="single" w:color="auto" w:sz="8" w:space="0"/>
              <w:bottom w:val="single" w:color="auto" w:sz="8" w:space="0"/>
            </w:tcBorders>
            <w:shd w:val="clear" w:color="auto" w:fill="auto"/>
            <w:vAlign w:val="center"/>
          </w:tcPr>
          <w:p>
            <w:pPr>
              <w:spacing w:line="294" w:lineRule="exac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7.3</w:t>
            </w:r>
          </w:p>
        </w:tc>
        <w:tc>
          <w:tcPr>
            <w:tcW w:w="12894" w:type="dxa"/>
            <w:gridSpan w:val="2"/>
            <w:tcBorders>
              <w:top w:val="single" w:color="auto" w:sz="8" w:space="0"/>
              <w:bottom w:val="single" w:color="auto" w:sz="8" w:space="0"/>
            </w:tcBorders>
            <w:shd w:val="clear" w:color="auto" w:fill="auto"/>
            <w:vAlign w:val="center"/>
          </w:tcPr>
          <w:p>
            <w:pPr>
              <w:spacing w:line="294" w:lineRule="exact"/>
              <w:jc w:val="left"/>
              <w:rPr>
                <w:rFonts w:ascii="仿宋_GB2312" w:hAnsi="仿宋_GB2312" w:eastAsia="仿宋_GB2312" w:cs="仿宋_GB2312"/>
                <w:sz w:val="24"/>
              </w:rPr>
            </w:pPr>
            <w:r>
              <w:rPr>
                <w:rFonts w:hint="eastAsia" w:ascii="仿宋_GB2312" w:hAnsi="仿宋_GB2312" w:eastAsia="仿宋_GB2312" w:cs="仿宋_GB2312"/>
                <w:bCs/>
                <w:sz w:val="24"/>
              </w:rPr>
              <w:t>存在因操作不当引发安全事故或产生重大安全风险的行为</w:t>
            </w:r>
          </w:p>
        </w:tc>
      </w:tr>
    </w:tbl>
    <w:p>
      <w:pPr>
        <w:pStyle w:val="12"/>
        <w:numPr>
          <w:ilvl w:val="0"/>
          <w:numId w:val="0"/>
        </w:numPr>
        <w:spacing w:line="400" w:lineRule="exact"/>
        <w:ind w:left="638" w:hanging="638" w:hangingChars="304"/>
        <w:rPr>
          <w:b/>
          <w:sz w:val="24"/>
        </w:rPr>
      </w:pPr>
      <w:r>
        <w:rPr>
          <w:rFonts w:hint="eastAsia" w:ascii="仿宋" w:hAnsi="仿宋" w:eastAsia="仿宋" w:cs="仿宋"/>
          <w:sz w:val="21"/>
          <w:szCs w:val="21"/>
        </w:rPr>
        <w:t xml:space="preserve">  </w:t>
      </w:r>
      <w:r>
        <w:rPr>
          <w:rFonts w:hint="eastAsia" w:ascii="仿宋" w:hAnsi="仿宋" w:eastAsia="仿宋" w:cs="仿宋"/>
          <w:b/>
          <w:sz w:val="21"/>
          <w:szCs w:val="21"/>
        </w:rPr>
        <w:t>注：总分不低于60分，且甲级每项带*的考核内容得分不低于3分或者乙级每项带*的考核内容得分不低于3.5分，视为现场操作考核合格。</w:t>
      </w:r>
    </w:p>
    <w:sectPr>
      <w:footerReference r:id="rId3" w:type="default"/>
      <w:pgSz w:w="16838" w:h="11906" w:orient="landscape"/>
      <w:pgMar w:top="816" w:right="856" w:bottom="816" w:left="856"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altName w:val="微软雅黑"/>
    <w:panose1 w:val="02010609060101010101"/>
    <w:charset w:val="86"/>
    <w:family w:val="modern"/>
    <w:pitch w:val="default"/>
    <w:sig w:usb0="00000000" w:usb1="00000000" w:usb2="00000016" w:usb3="00000000" w:csb0="00040001" w:csb1="00000000"/>
  </w:font>
  <w:font w:name="DejaVu Sans">
    <w:panose1 w:val="020B0603030804020204"/>
    <w:charset w:val="00"/>
    <w:family w:val="auto"/>
    <w:pitch w:val="default"/>
    <w:sig w:usb0="E7006EFF" w:usb1="D200FDFF" w:usb2="0A246029" w:usb3="0400200C" w:csb0="600001FF" w:csb1="DFFF0000"/>
  </w:font>
  <w:font w:name="Noto Sans CJK JP Bold">
    <w:panose1 w:val="020B0800000000000000"/>
    <w:charset w:val="86"/>
    <w:family w:val="auto"/>
    <w:pitch w:val="default"/>
    <w:sig w:usb0="30000003" w:usb1="2BDF3C10" w:usb2="00000016" w:usb3="00000000" w:csb0="602E0107"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0551516"/>
      <w:docPartObj>
        <w:docPartGallery w:val="autotext"/>
      </w:docPartObj>
    </w:sdtPr>
    <w:sdtContent>
      <w:p>
        <w:pPr>
          <w:pStyle w:val="2"/>
          <w:jc w:val="center"/>
        </w:pPr>
        <w:r>
          <w:fldChar w:fldCharType="begin"/>
        </w:r>
        <w:r>
          <w:instrText xml:space="preserve">PAGE   \* MERGEFORMAT</w:instrText>
        </w:r>
        <w:r>
          <w:fldChar w:fldCharType="separate"/>
        </w:r>
        <w:r>
          <w:rPr>
            <w:lang w:val="zh-CN"/>
          </w:rPr>
          <w:t>1</w:t>
        </w:r>
        <w:r>
          <w:fldChar w:fldCharType="end"/>
        </w:r>
      </w:p>
    </w:sdtContent>
  </w:sdt>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BF4733"/>
    <w:multiLevelType w:val="singleLevel"/>
    <w:tmpl w:val="81BF4733"/>
    <w:lvl w:ilvl="0" w:tentative="0">
      <w:start w:val="1"/>
      <w:numFmt w:val="decimal"/>
      <w:lvlText w:val="%1."/>
      <w:lvlJc w:val="left"/>
      <w:pPr>
        <w:ind w:left="425" w:hanging="425"/>
      </w:pPr>
      <w:rPr>
        <w:rFonts w:hint="default"/>
      </w:rPr>
    </w:lvl>
  </w:abstractNum>
  <w:abstractNum w:abstractNumId="1">
    <w:nsid w:val="8449AEFE"/>
    <w:multiLevelType w:val="singleLevel"/>
    <w:tmpl w:val="8449AEFE"/>
    <w:lvl w:ilvl="0" w:tentative="0">
      <w:start w:val="1"/>
      <w:numFmt w:val="decimal"/>
      <w:lvlText w:val="%1."/>
      <w:lvlJc w:val="left"/>
      <w:pPr>
        <w:ind w:left="425" w:hanging="425"/>
      </w:pPr>
      <w:rPr>
        <w:rFonts w:hint="default"/>
      </w:rPr>
    </w:lvl>
  </w:abstractNum>
  <w:abstractNum w:abstractNumId="2">
    <w:nsid w:val="91F9253F"/>
    <w:multiLevelType w:val="singleLevel"/>
    <w:tmpl w:val="91F9253F"/>
    <w:lvl w:ilvl="0" w:tentative="0">
      <w:start w:val="1"/>
      <w:numFmt w:val="decimal"/>
      <w:lvlText w:val="%1."/>
      <w:lvlJc w:val="left"/>
      <w:pPr>
        <w:ind w:left="425" w:hanging="425"/>
      </w:pPr>
      <w:rPr>
        <w:rFonts w:hint="default"/>
      </w:rPr>
    </w:lvl>
  </w:abstractNum>
  <w:abstractNum w:abstractNumId="3">
    <w:nsid w:val="A4BC3A29"/>
    <w:multiLevelType w:val="singleLevel"/>
    <w:tmpl w:val="A4BC3A29"/>
    <w:lvl w:ilvl="0" w:tentative="0">
      <w:start w:val="1"/>
      <w:numFmt w:val="decimal"/>
      <w:lvlText w:val="%1."/>
      <w:lvlJc w:val="left"/>
      <w:pPr>
        <w:ind w:left="425" w:hanging="425"/>
      </w:pPr>
      <w:rPr>
        <w:rFonts w:hint="default"/>
      </w:rPr>
    </w:lvl>
  </w:abstractNum>
  <w:abstractNum w:abstractNumId="4">
    <w:nsid w:val="A61ECF4B"/>
    <w:multiLevelType w:val="singleLevel"/>
    <w:tmpl w:val="A61ECF4B"/>
    <w:lvl w:ilvl="0" w:tentative="0">
      <w:start w:val="1"/>
      <w:numFmt w:val="decimal"/>
      <w:lvlText w:val="%1."/>
      <w:lvlJc w:val="left"/>
      <w:pPr>
        <w:ind w:left="425" w:hanging="425"/>
      </w:pPr>
      <w:rPr>
        <w:rFonts w:hint="default"/>
      </w:rPr>
    </w:lvl>
  </w:abstractNum>
  <w:abstractNum w:abstractNumId="5">
    <w:nsid w:val="B05CE26F"/>
    <w:multiLevelType w:val="singleLevel"/>
    <w:tmpl w:val="B05CE26F"/>
    <w:lvl w:ilvl="0" w:tentative="0">
      <w:start w:val="1"/>
      <w:numFmt w:val="decimal"/>
      <w:lvlText w:val="%1."/>
      <w:lvlJc w:val="left"/>
      <w:pPr>
        <w:ind w:left="425" w:hanging="425"/>
      </w:pPr>
      <w:rPr>
        <w:rFonts w:hint="default"/>
      </w:rPr>
    </w:lvl>
  </w:abstractNum>
  <w:abstractNum w:abstractNumId="6">
    <w:nsid w:val="CC061D11"/>
    <w:multiLevelType w:val="singleLevel"/>
    <w:tmpl w:val="CC061D11"/>
    <w:lvl w:ilvl="0" w:tentative="0">
      <w:start w:val="1"/>
      <w:numFmt w:val="decimal"/>
      <w:lvlText w:val="%1."/>
      <w:lvlJc w:val="left"/>
      <w:pPr>
        <w:ind w:left="425" w:hanging="425"/>
      </w:pPr>
      <w:rPr>
        <w:rFonts w:hint="default"/>
      </w:rPr>
    </w:lvl>
  </w:abstractNum>
  <w:abstractNum w:abstractNumId="7">
    <w:nsid w:val="D42A9127"/>
    <w:multiLevelType w:val="singleLevel"/>
    <w:tmpl w:val="D42A9127"/>
    <w:lvl w:ilvl="0" w:tentative="0">
      <w:start w:val="1"/>
      <w:numFmt w:val="decimal"/>
      <w:lvlText w:val="%1."/>
      <w:lvlJc w:val="left"/>
      <w:pPr>
        <w:ind w:left="425" w:hanging="425"/>
      </w:pPr>
      <w:rPr>
        <w:rFonts w:hint="default"/>
      </w:rPr>
    </w:lvl>
  </w:abstractNum>
  <w:abstractNum w:abstractNumId="8">
    <w:nsid w:val="D4BCA4DE"/>
    <w:multiLevelType w:val="singleLevel"/>
    <w:tmpl w:val="D4BCA4DE"/>
    <w:lvl w:ilvl="0" w:tentative="0">
      <w:start w:val="1"/>
      <w:numFmt w:val="decimal"/>
      <w:lvlText w:val="%1."/>
      <w:lvlJc w:val="left"/>
      <w:pPr>
        <w:tabs>
          <w:tab w:val="left" w:pos="312"/>
        </w:tabs>
      </w:pPr>
    </w:lvl>
  </w:abstractNum>
  <w:abstractNum w:abstractNumId="9">
    <w:nsid w:val="E1D5345B"/>
    <w:multiLevelType w:val="singleLevel"/>
    <w:tmpl w:val="E1D5345B"/>
    <w:lvl w:ilvl="0" w:tentative="0">
      <w:start w:val="1"/>
      <w:numFmt w:val="decimal"/>
      <w:lvlText w:val="%1."/>
      <w:lvlJc w:val="left"/>
      <w:pPr>
        <w:ind w:left="425" w:hanging="425"/>
      </w:pPr>
      <w:rPr>
        <w:rFonts w:hint="default"/>
      </w:rPr>
    </w:lvl>
  </w:abstractNum>
  <w:abstractNum w:abstractNumId="10">
    <w:nsid w:val="ECE54B1C"/>
    <w:multiLevelType w:val="singleLevel"/>
    <w:tmpl w:val="ECE54B1C"/>
    <w:lvl w:ilvl="0" w:tentative="0">
      <w:start w:val="1"/>
      <w:numFmt w:val="decimal"/>
      <w:lvlText w:val="%1."/>
      <w:lvlJc w:val="left"/>
      <w:pPr>
        <w:ind w:left="425" w:hanging="425"/>
      </w:pPr>
      <w:rPr>
        <w:rFonts w:hint="default"/>
      </w:rPr>
    </w:lvl>
  </w:abstractNum>
  <w:abstractNum w:abstractNumId="11">
    <w:nsid w:val="F9DF2162"/>
    <w:multiLevelType w:val="singleLevel"/>
    <w:tmpl w:val="F9DF2162"/>
    <w:lvl w:ilvl="0" w:tentative="0">
      <w:start w:val="1"/>
      <w:numFmt w:val="decimal"/>
      <w:lvlText w:val="%1."/>
      <w:lvlJc w:val="left"/>
      <w:pPr>
        <w:ind w:left="425" w:hanging="425"/>
      </w:pPr>
      <w:rPr>
        <w:rFonts w:hint="default"/>
      </w:rPr>
    </w:lvl>
  </w:abstractNum>
  <w:abstractNum w:abstractNumId="12">
    <w:nsid w:val="0548A728"/>
    <w:multiLevelType w:val="singleLevel"/>
    <w:tmpl w:val="0548A728"/>
    <w:lvl w:ilvl="0" w:tentative="0">
      <w:start w:val="4"/>
      <w:numFmt w:val="chineseCounting"/>
      <w:suff w:val="nothing"/>
      <w:lvlText w:val="%1、"/>
      <w:lvlJc w:val="left"/>
      <w:rPr>
        <w:rFonts w:hint="eastAsia"/>
      </w:rPr>
    </w:lvl>
  </w:abstractNum>
  <w:abstractNum w:abstractNumId="13">
    <w:nsid w:val="0644F37A"/>
    <w:multiLevelType w:val="singleLevel"/>
    <w:tmpl w:val="0644F37A"/>
    <w:lvl w:ilvl="0" w:tentative="0">
      <w:start w:val="1"/>
      <w:numFmt w:val="decimal"/>
      <w:lvlText w:val="%1."/>
      <w:lvlJc w:val="left"/>
      <w:pPr>
        <w:ind w:left="425" w:hanging="425"/>
      </w:pPr>
      <w:rPr>
        <w:rFonts w:hint="default"/>
      </w:rPr>
    </w:lvl>
  </w:abstractNum>
  <w:abstractNum w:abstractNumId="14">
    <w:nsid w:val="1FC91163"/>
    <w:multiLevelType w:val="multilevel"/>
    <w:tmpl w:val="1FC91163"/>
    <w:lvl w:ilvl="0" w:tentative="0">
      <w:start w:val="1"/>
      <w:numFmt w:val="decimal"/>
      <w:suff w:val="nothing"/>
      <w:lvlText w:val="%1　"/>
      <w:lvlJc w:val="left"/>
      <w:pPr>
        <w:ind w:left="0" w:firstLine="0"/>
      </w:pPr>
      <w:rPr>
        <w:rFonts w:hint="eastAsia" w:ascii="黑体" w:hAnsi="Times New Roman" w:eastAsia="黑体"/>
        <w:b w:val="0"/>
        <w:i w:val="0"/>
        <w:color w:val="auto"/>
        <w:sz w:val="21"/>
        <w:szCs w:val="21"/>
      </w:rPr>
    </w:lvl>
    <w:lvl w:ilvl="1" w:tentative="0">
      <w:start w:val="1"/>
      <w:numFmt w:val="decimal"/>
      <w:pStyle w:val="11"/>
      <w:suff w:val="nothing"/>
      <w:lvlText w:val="%1.%2　"/>
      <w:lvlJc w:val="left"/>
      <w:pPr>
        <w:ind w:left="1418" w:firstLine="0"/>
      </w:pPr>
      <w:rPr>
        <w:rFonts w:hint="eastAsia" w:ascii="黑体" w:hAnsi="Times New Roman" w:eastAsia="黑体" w:cs="Times New Roman"/>
        <w:b w:val="0"/>
        <w:bCs w:val="0"/>
        <w:i w:val="0"/>
        <w:iCs w:val="0"/>
        <w:caps w:val="0"/>
        <w:strike w:val="0"/>
        <w:dstrike w:val="0"/>
        <w:vanish w:val="0"/>
        <w:color w:val="000000" w:themeColor="text1"/>
        <w:spacing w:val="0"/>
        <w:kern w:val="0"/>
        <w:position w:val="0"/>
        <w:sz w:val="21"/>
        <w:szCs w:val="21"/>
        <w:u w:val="none"/>
        <w:vertAlign w:val="baseline"/>
        <w14:textFill>
          <w14:solidFill>
            <w14:schemeClr w14:val="tx1"/>
          </w14:solidFill>
        </w14:textFill>
      </w:rPr>
    </w:lvl>
    <w:lvl w:ilvl="2" w:tentative="0">
      <w:start w:val="1"/>
      <w:numFmt w:val="decimal"/>
      <w:pStyle w:val="10"/>
      <w:suff w:val="nothing"/>
      <w:lvlText w:val="%1.%2.%3　"/>
      <w:lvlJc w:val="left"/>
      <w:pPr>
        <w:ind w:left="2410" w:firstLine="0"/>
      </w:pPr>
      <w:rPr>
        <w:rFonts w:hint="eastAsia" w:ascii="黑体" w:hAnsi="Times New Roman" w:eastAsia="黑体"/>
        <w:b w:val="0"/>
        <w:i w:val="0"/>
        <w:sz w:val="21"/>
      </w:rPr>
    </w:lvl>
    <w:lvl w:ilvl="3" w:tentative="0">
      <w:start w:val="1"/>
      <w:numFmt w:val="decimal"/>
      <w:suff w:val="nothing"/>
      <w:lvlText w:val="%1.%2.%3.%4　"/>
      <w:lvlJc w:val="left"/>
      <w:pPr>
        <w:ind w:left="1701"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5">
    <w:nsid w:val="26FFFD24"/>
    <w:multiLevelType w:val="singleLevel"/>
    <w:tmpl w:val="26FFFD24"/>
    <w:lvl w:ilvl="0" w:tentative="0">
      <w:start w:val="1"/>
      <w:numFmt w:val="decimal"/>
      <w:lvlText w:val="%1."/>
      <w:lvlJc w:val="left"/>
      <w:pPr>
        <w:ind w:left="425" w:hanging="425"/>
      </w:pPr>
      <w:rPr>
        <w:rFonts w:hint="default"/>
      </w:rPr>
    </w:lvl>
  </w:abstractNum>
  <w:abstractNum w:abstractNumId="16">
    <w:nsid w:val="3E5711BD"/>
    <w:multiLevelType w:val="singleLevel"/>
    <w:tmpl w:val="3E5711BD"/>
    <w:lvl w:ilvl="0" w:tentative="0">
      <w:start w:val="1"/>
      <w:numFmt w:val="decimal"/>
      <w:lvlText w:val="%1."/>
      <w:lvlJc w:val="left"/>
      <w:pPr>
        <w:ind w:left="425" w:hanging="425"/>
      </w:pPr>
      <w:rPr>
        <w:rFonts w:hint="default"/>
      </w:rPr>
    </w:lvl>
  </w:abstractNum>
  <w:abstractNum w:abstractNumId="17">
    <w:nsid w:val="5804C7AF"/>
    <w:multiLevelType w:val="singleLevel"/>
    <w:tmpl w:val="5804C7AF"/>
    <w:lvl w:ilvl="0" w:tentative="0">
      <w:start w:val="1"/>
      <w:numFmt w:val="decimal"/>
      <w:lvlText w:val="%1."/>
      <w:lvlJc w:val="left"/>
      <w:pPr>
        <w:ind w:left="425" w:hanging="425"/>
      </w:pPr>
      <w:rPr>
        <w:rFonts w:hint="default"/>
      </w:rPr>
    </w:lvl>
  </w:abstractNum>
  <w:abstractNum w:abstractNumId="18">
    <w:nsid w:val="60B55DC2"/>
    <w:multiLevelType w:val="multilevel"/>
    <w:tmpl w:val="60B55DC2"/>
    <w:lvl w:ilvl="0" w:tentative="0">
      <w:start w:val="1"/>
      <w:numFmt w:val="upperLetter"/>
      <w:pStyle w:val="14"/>
      <w:lvlText w:val="%1"/>
      <w:lvlJc w:val="left"/>
      <w:pPr>
        <w:tabs>
          <w:tab w:val="left" w:pos="0"/>
        </w:tabs>
        <w:ind w:left="0" w:hanging="425"/>
      </w:pPr>
      <w:rPr>
        <w:rFonts w:hint="eastAsia"/>
      </w:rPr>
    </w:lvl>
    <w:lvl w:ilvl="1" w:tentative="0">
      <w:start w:val="1"/>
      <w:numFmt w:val="decimal"/>
      <w:pStyle w:val="7"/>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9">
    <w:nsid w:val="6DBF04F4"/>
    <w:multiLevelType w:val="multilevel"/>
    <w:tmpl w:val="6DBF04F4"/>
    <w:lvl w:ilvl="0" w:tentative="0">
      <w:start w:val="1"/>
      <w:numFmt w:val="none"/>
      <w:pStyle w:val="13"/>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0">
    <w:nsid w:val="798DFC17"/>
    <w:multiLevelType w:val="singleLevel"/>
    <w:tmpl w:val="798DFC17"/>
    <w:lvl w:ilvl="0" w:tentative="0">
      <w:start w:val="1"/>
      <w:numFmt w:val="decimal"/>
      <w:lvlText w:val="%1."/>
      <w:lvlJc w:val="left"/>
      <w:pPr>
        <w:ind w:left="425" w:hanging="425"/>
      </w:pPr>
      <w:rPr>
        <w:rFonts w:hint="default"/>
      </w:rPr>
    </w:lvl>
  </w:abstractNum>
  <w:abstractNum w:abstractNumId="21">
    <w:nsid w:val="7C55545C"/>
    <w:multiLevelType w:val="singleLevel"/>
    <w:tmpl w:val="7C55545C"/>
    <w:lvl w:ilvl="0" w:tentative="0">
      <w:start w:val="1"/>
      <w:numFmt w:val="decimal"/>
      <w:lvlText w:val="%1."/>
      <w:lvlJc w:val="left"/>
      <w:pPr>
        <w:ind w:left="425" w:hanging="425"/>
      </w:pPr>
      <w:rPr>
        <w:rFonts w:hint="default"/>
      </w:rPr>
    </w:lvl>
  </w:abstractNum>
  <w:num w:numId="1">
    <w:abstractNumId w:val="18"/>
  </w:num>
  <w:num w:numId="2">
    <w:abstractNumId w:val="14"/>
  </w:num>
  <w:num w:numId="3">
    <w:abstractNumId w:val="19"/>
  </w:num>
  <w:num w:numId="4">
    <w:abstractNumId w:val="4"/>
  </w:num>
  <w:num w:numId="5">
    <w:abstractNumId w:val="2"/>
  </w:num>
  <w:num w:numId="6">
    <w:abstractNumId w:val="21"/>
  </w:num>
  <w:num w:numId="7">
    <w:abstractNumId w:val="20"/>
  </w:num>
  <w:num w:numId="8">
    <w:abstractNumId w:val="9"/>
  </w:num>
  <w:num w:numId="9">
    <w:abstractNumId w:val="3"/>
  </w:num>
  <w:num w:numId="10">
    <w:abstractNumId w:val="10"/>
  </w:num>
  <w:num w:numId="11">
    <w:abstractNumId w:val="0"/>
  </w:num>
  <w:num w:numId="12">
    <w:abstractNumId w:val="12"/>
  </w:num>
  <w:num w:numId="13">
    <w:abstractNumId w:val="6"/>
  </w:num>
  <w:num w:numId="14">
    <w:abstractNumId w:val="17"/>
  </w:num>
  <w:num w:numId="15">
    <w:abstractNumId w:val="13"/>
  </w:num>
  <w:num w:numId="16">
    <w:abstractNumId w:val="16"/>
  </w:num>
  <w:num w:numId="17">
    <w:abstractNumId w:val="5"/>
  </w:num>
  <w:num w:numId="18">
    <w:abstractNumId w:val="7"/>
  </w:num>
  <w:num w:numId="19">
    <w:abstractNumId w:val="1"/>
  </w:num>
  <w:num w:numId="20">
    <w:abstractNumId w:val="15"/>
  </w:num>
  <w:num w:numId="21">
    <w:abstractNumId w:val="8"/>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attachedTemplate r:id="rId1"/>
  <w:documentProtection w:formatting="1"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5E3E"/>
    <w:rsid w:val="004F5E3E"/>
    <w:rsid w:val="00C3787C"/>
    <w:rsid w:val="9DFB0D32"/>
    <w:rsid w:val="FFFFCF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6"/>
    <w:qFormat/>
    <w:uiPriority w:val="99"/>
    <w:pPr>
      <w:tabs>
        <w:tab w:val="center" w:pos="4153"/>
        <w:tab w:val="right" w:pos="8306"/>
      </w:tabs>
      <w:snapToGrid w:val="0"/>
      <w:jc w:val="left"/>
    </w:pPr>
    <w:rPr>
      <w:sz w:val="18"/>
      <w:szCs w:val="18"/>
    </w:rPr>
  </w:style>
  <w:style w:type="paragraph" w:styleId="3">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7">
    <w:name w:val="附录表标题"/>
    <w:basedOn w:val="1"/>
    <w:next w:val="8"/>
    <w:qFormat/>
    <w:uiPriority w:val="0"/>
    <w:pPr>
      <w:numPr>
        <w:ilvl w:val="1"/>
        <w:numId w:val="1"/>
      </w:numPr>
      <w:tabs>
        <w:tab w:val="left" w:pos="180"/>
      </w:tabs>
      <w:spacing w:beforeLines="50" w:afterLines="50"/>
      <w:ind w:left="0" w:firstLine="0"/>
      <w:jc w:val="center"/>
    </w:pPr>
    <w:rPr>
      <w:rFonts w:ascii="黑体" w:eastAsia="黑体"/>
      <w:szCs w:val="21"/>
    </w:rPr>
  </w:style>
  <w:style w:type="paragraph" w:customStyle="1" w:styleId="8">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9">
    <w:name w:val="二级无"/>
    <w:basedOn w:val="10"/>
    <w:qFormat/>
    <w:uiPriority w:val="0"/>
    <w:pPr>
      <w:spacing w:beforeLines="0" w:afterLines="0"/>
    </w:pPr>
    <w:rPr>
      <w:rFonts w:ascii="宋体" w:eastAsia="宋体"/>
    </w:rPr>
  </w:style>
  <w:style w:type="paragraph" w:customStyle="1" w:styleId="10">
    <w:name w:val="二级条标题"/>
    <w:basedOn w:val="11"/>
    <w:next w:val="8"/>
    <w:qFormat/>
    <w:uiPriority w:val="0"/>
    <w:pPr>
      <w:numPr>
        <w:ilvl w:val="2"/>
      </w:numPr>
      <w:spacing w:before="50" w:after="50"/>
      <w:outlineLvl w:val="3"/>
    </w:pPr>
  </w:style>
  <w:style w:type="paragraph" w:customStyle="1" w:styleId="11">
    <w:name w:val="一级条标题"/>
    <w:next w:val="8"/>
    <w:qFormat/>
    <w:uiPriority w:val="0"/>
    <w:pPr>
      <w:numPr>
        <w:ilvl w:val="1"/>
        <w:numId w:val="2"/>
      </w:numPr>
      <w:spacing w:beforeLines="50" w:afterLines="50"/>
      <w:outlineLvl w:val="2"/>
    </w:pPr>
    <w:rPr>
      <w:rFonts w:ascii="黑体" w:hAnsi="Times New Roman" w:eastAsia="黑体" w:cs="Times New Roman"/>
      <w:sz w:val="21"/>
      <w:szCs w:val="21"/>
      <w:lang w:val="en-US" w:eastAsia="zh-CN" w:bidi="ar-SA"/>
    </w:rPr>
  </w:style>
  <w:style w:type="paragraph" w:customStyle="1" w:styleId="12">
    <w:name w:val="注：（正文）"/>
    <w:basedOn w:val="13"/>
    <w:next w:val="8"/>
    <w:qFormat/>
    <w:uiPriority w:val="0"/>
  </w:style>
  <w:style w:type="paragraph" w:customStyle="1" w:styleId="13">
    <w:name w:val="注："/>
    <w:next w:val="8"/>
    <w:qFormat/>
    <w:uiPriority w:val="0"/>
    <w:pPr>
      <w:widowControl w:val="0"/>
      <w:numPr>
        <w:ilvl w:val="0"/>
        <w:numId w:val="3"/>
      </w:numPr>
      <w:autoSpaceDE w:val="0"/>
      <w:autoSpaceDN w:val="0"/>
      <w:jc w:val="both"/>
    </w:pPr>
    <w:rPr>
      <w:rFonts w:ascii="宋体" w:hAnsi="Times New Roman" w:eastAsia="宋体" w:cs="Times New Roman"/>
      <w:sz w:val="18"/>
      <w:szCs w:val="18"/>
      <w:lang w:val="en-US" w:eastAsia="zh-CN" w:bidi="ar-SA"/>
    </w:rPr>
  </w:style>
  <w:style w:type="paragraph" w:customStyle="1" w:styleId="14">
    <w:name w:val="附录表标号"/>
    <w:basedOn w:val="1"/>
    <w:next w:val="8"/>
    <w:qFormat/>
    <w:uiPriority w:val="0"/>
    <w:pPr>
      <w:numPr>
        <w:ilvl w:val="0"/>
        <w:numId w:val="1"/>
      </w:numPr>
      <w:tabs>
        <w:tab w:val="clear" w:pos="0"/>
      </w:tabs>
      <w:spacing w:line="14" w:lineRule="exact"/>
      <w:ind w:left="811" w:hanging="448"/>
      <w:jc w:val="center"/>
      <w:outlineLvl w:val="0"/>
    </w:pPr>
    <w:rPr>
      <w:color w:val="FFFFFF"/>
    </w:rPr>
  </w:style>
  <w:style w:type="character" w:customStyle="1" w:styleId="15">
    <w:name w:val="页眉 Char"/>
    <w:basedOn w:val="6"/>
    <w:link w:val="3"/>
    <w:qFormat/>
    <w:uiPriority w:val="0"/>
    <w:rPr>
      <w:rFonts w:ascii="Times New Roman" w:hAnsi="Times New Roman" w:eastAsia="宋体" w:cs="Times New Roman"/>
      <w:kern w:val="2"/>
      <w:sz w:val="18"/>
      <w:szCs w:val="18"/>
    </w:rPr>
  </w:style>
  <w:style w:type="character" w:customStyle="1" w:styleId="16">
    <w:name w:val="页脚 Char"/>
    <w:basedOn w:val="6"/>
    <w:link w:val="2"/>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guest/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Template>
  <Pages>4</Pages>
  <Words>407</Words>
  <Characters>2323</Characters>
  <Lines>19</Lines>
  <Paragraphs>5</Paragraphs>
  <TotalTime>0</TotalTime>
  <ScaleCrop>false</ScaleCrop>
  <LinksUpToDate>false</LinksUpToDate>
  <CharactersWithSpaces>2725</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2020-12-01T19:14:00Z</dcterms:created>
  <dc:creator>栋</dc:creator>
  <cp:lastModifiedBy>guest</cp:lastModifiedBy>
  <cp:lastPrinted>2020-06-16T21:47:00Z</cp:lastPrinted>
  <dcterms:modified xsi:type="dcterms:W3CDTF">2022-11-09T17:33:49Z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