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spacing w:val="0"/>
          <w:sz w:val="44"/>
          <w:szCs w:val="44"/>
          <w:lang w:eastAsia="zh-CN"/>
        </w:rPr>
      </w:pPr>
      <w:r>
        <w:rPr>
          <w:rFonts w:hint="eastAsia" w:ascii="方正小标宋简体" w:hAnsi="方正小标宋简体" w:eastAsia="方正小标宋简体" w:cs="方正小标宋简体"/>
          <w:b w:val="0"/>
          <w:bCs w:val="0"/>
          <w:i w:val="0"/>
          <w:iCs w:val="0"/>
          <w:caps w:val="0"/>
          <w:spacing w:val="0"/>
          <w:sz w:val="44"/>
          <w:szCs w:val="44"/>
          <w:lang w:val="en-US" w:eastAsia="zh-CN"/>
        </w:rPr>
        <w:t>银川市</w:t>
      </w:r>
      <w:r>
        <w:rPr>
          <w:rFonts w:hint="eastAsia" w:ascii="方正小标宋简体" w:hAnsi="方正小标宋简体" w:eastAsia="方正小标宋简体" w:cs="方正小标宋简体"/>
          <w:b w:val="0"/>
          <w:bCs w:val="0"/>
          <w:i w:val="0"/>
          <w:iCs w:val="0"/>
          <w:caps w:val="0"/>
          <w:spacing w:val="0"/>
          <w:sz w:val="44"/>
          <w:szCs w:val="44"/>
        </w:rPr>
        <w:t>气象局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i w:val="0"/>
          <w:iCs w:val="0"/>
          <w:caps w:val="0"/>
          <w:spacing w:val="0"/>
          <w:sz w:val="44"/>
          <w:szCs w:val="44"/>
        </w:rPr>
        <w:t>2023年政府信息公开工作年度报告</w:t>
      </w:r>
    </w:p>
    <w:p>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p>
    <w:p>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color w:val="auto"/>
          <w:sz w:val="32"/>
          <w:szCs w:val="32"/>
        </w:rPr>
        <w:t>本报告根据《中华人民共和国政府信息公开条例》《气象部门政府信息公开办法</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要求编制。所列数据的统计期限自202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年1月1日起至202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年12月31日止</w:t>
      </w:r>
      <w:r>
        <w:rPr>
          <w:rFonts w:hint="eastAsia" w:ascii="仿宋_GB2312" w:hAnsi="仿宋_GB2312" w:eastAsia="仿宋_GB2312" w:cs="仿宋_GB2312"/>
          <w:kern w:val="0"/>
          <w:sz w:val="32"/>
          <w:szCs w:val="32"/>
        </w:rPr>
        <w:t>。</w:t>
      </w:r>
    </w:p>
    <w:p>
      <w:pPr>
        <w:keepNext w:val="0"/>
        <w:keepLines w:val="0"/>
        <w:pageBreakBefore w:val="0"/>
        <w:widowControl/>
        <w:numPr>
          <w:ilvl w:val="-1"/>
          <w:numId w:val="0"/>
        </w:numPr>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一、总体情况</w:t>
      </w:r>
    </w:p>
    <w:p>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年，银川市气象局政务公开和政府信息公开工作以习近平新时代中国特色社会主义思想为指导，紧紧围绕党中央、国务院和宁夏气象局、银川市党委和政府重大决策部署及公众关切，遵循公开、公平、便民的原则，严格执行《中华人民共和国政府信息公开条例》规定，高度重视信息公开工作，强化组织领导，健全工作机制，扎实推进信息公开工作，广泛接受社会监督，扎实做好政府信息公开各项工作，在切实保障群众的知情权、参与权、监督权和促进政府信息公开工作健康发展等方面取得了实效。</w:t>
      </w:r>
    </w:p>
    <w:p>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（一）主动公开情况</w:t>
      </w:r>
    </w:p>
    <w:p>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default" w:ascii="仿宋_GB2312" w:hAnsi="仿宋_GB2312" w:eastAsia="仿宋_GB2312" w:cs="仿宋_GB2312"/>
          <w:kern w:val="0"/>
          <w:sz w:val="32"/>
          <w:szCs w:val="32"/>
          <w:lang w:val="en-US"/>
        </w:rPr>
        <w:t>2023年，银川市气象局本级机关通过宁夏回族自治区气象局门户网站公开了机关职能、机构设置、联系方式、部门领导等信息；通过行政审批平台处理决定70件；通过“银川气象”官方微博、“气象银川”微信公众号发布天气预报信息730条</w:t>
      </w:r>
      <w:r>
        <w:rPr>
          <w:rFonts w:hint="eastAsia" w:ascii="仿宋_GB2312" w:hAnsi="仿宋_GB2312" w:eastAsia="仿宋_GB2312" w:cs="仿宋_GB2312"/>
          <w:kern w:val="0"/>
          <w:sz w:val="32"/>
          <w:szCs w:val="32"/>
          <w:lang w:val="en-US" w:eastAsia="zh-CN"/>
        </w:rPr>
        <w:t>。</w:t>
      </w:r>
      <w:r>
        <w:rPr>
          <w:rFonts w:hint="default" w:ascii="仿宋_GB2312" w:hAnsi="仿宋_GB2312" w:eastAsia="仿宋_GB2312" w:cs="仿宋_GB2312"/>
          <w:kern w:val="0"/>
          <w:sz w:val="32"/>
          <w:szCs w:val="32"/>
          <w:lang w:val="en-US"/>
        </w:rPr>
        <w:t>全市主动公开预警信息612条，其中，银川市气象局162条、贺兰县气象局152条、永宁县气象局146条、灵武市气象局152条；通过地方人民政府门户网站主动公开各类气象预报预警信息3632条，其中，银川市气象局2352条、贺兰县气象局517条、永宁县气象局511条、灵武市气象局252条；通过12121、手机短信、电子显示屏、大喇叭等信息发布渠道，及时发布气象灾害预警信息。</w:t>
      </w:r>
    </w:p>
    <w:p>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（二）政府信息管理情况</w:t>
      </w:r>
    </w:p>
    <w:p>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银川市气象局办公室为政府信息公开工作专门机构，加强政府信息公开工作的实施和管理，目前全市气象部门有7人兼职政府信息公开工作。</w:t>
      </w:r>
    </w:p>
    <w:p>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（三）平台建设情况</w:t>
      </w:r>
    </w:p>
    <w:p>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因我单位无对外政府网站，目前利用银川市政府门户网站、“气象银川”微信公众号、“银川气象”官方微博、新闻媒体等平台，拓宽公开渠道，扎实开展政府信息公开工作。同时充分利用集中行政审批宣传平台，在银川市政务服务中心设置窗口，对审批服务事项、办理依据、办理程序、办理条件、收费标准、责任单位、监督电话实行公开，方便群众办事。</w:t>
      </w:r>
    </w:p>
    <w:p>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（四）监督保障情况</w:t>
      </w:r>
    </w:p>
    <w:p>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一是组织政务公开工作人员强化学习《宁夏回族自治区全面推进政务公开若干重点工作实施方案</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银川市气象部门政务公开实施办法》和《银川市气象局政府信息公开制度》，进一步强化了政务公开工作人员在互联网环境下的政务公开理念；二是根据《中华人民共和国政府信息公开条例》及政府信息公开工作的相关要求，</w:t>
      </w:r>
      <w:r>
        <w:rPr>
          <w:rFonts w:hint="eastAsia" w:ascii="仿宋_GB2312" w:hAnsi="仿宋_GB2312" w:eastAsia="仿宋_GB2312" w:cs="仿宋_GB2312"/>
          <w:kern w:val="0"/>
          <w:sz w:val="32"/>
          <w:szCs w:val="32"/>
          <w:lang w:eastAsia="zh-CN"/>
        </w:rPr>
        <w:t>按</w:t>
      </w:r>
      <w:r>
        <w:rPr>
          <w:rFonts w:hint="eastAsia" w:ascii="仿宋_GB2312" w:hAnsi="仿宋_GB2312" w:eastAsia="仿宋_GB2312" w:cs="仿宋_GB2312"/>
          <w:kern w:val="0"/>
          <w:sz w:val="32"/>
          <w:szCs w:val="32"/>
        </w:rPr>
        <w:t>照应公开尽公开的原则，制定年度政务公开任务清单，进一步推进了本局政府信息公开工作的制度化和规范化，做到“依法公开，真实公正，注重实效，有</w:t>
      </w:r>
      <w:r>
        <w:rPr>
          <w:rFonts w:hint="eastAsia" w:ascii="仿宋_GB2312" w:hAnsi="仿宋_GB2312" w:eastAsia="仿宋_GB2312" w:cs="仿宋_GB2312"/>
          <w:kern w:val="0"/>
          <w:sz w:val="32"/>
          <w:szCs w:val="32"/>
          <w:lang w:eastAsia="zh-CN"/>
        </w:rPr>
        <w:t>力</w:t>
      </w:r>
      <w:r>
        <w:rPr>
          <w:rFonts w:hint="eastAsia" w:ascii="仿宋_GB2312" w:hAnsi="仿宋_GB2312" w:eastAsia="仿宋_GB2312" w:cs="仿宋_GB2312"/>
          <w:kern w:val="0"/>
          <w:sz w:val="32"/>
          <w:szCs w:val="32"/>
        </w:rPr>
        <w:t>监督”；三是根据宁夏气象局办公室关于印发《宁夏气象局门户网站管理办法》的文件精神，结合中国气象局办公室对门户网站建设、抽查的有关部署，银川市气象局积极组织落实，认真对照检查和整改，对宁夏气象局门户网站信息发布情况进行了自查和深刻的剖析；四是严格依法管理，加强督促检查</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 xml:space="preserve"> 强化监督，使信息公开工作制度化和规范化。进一步强化责任，严肃纪律，保证信息公开工作的连续性。积极贯彻实施信息督查检查制度</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严格把握公开程序，边学习、边修改、边完善，广泛接受服务对象的监督，切实做好信息公开工作。</w:t>
      </w:r>
    </w:p>
    <w:p>
      <w:pPr>
        <w:keepNext w:val="0"/>
        <w:keepLines w:val="0"/>
        <w:pageBreakBefore w:val="0"/>
        <w:widowControl/>
        <w:numPr>
          <w:ilvl w:val="-1"/>
          <w:numId w:val="0"/>
        </w:numPr>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0"/>
          <w:sz w:val="32"/>
          <w:szCs w:val="32"/>
          <w:lang w:eastAsia="zh-CN"/>
        </w:rPr>
      </w:pPr>
      <w:r>
        <w:rPr>
          <w:rFonts w:hint="eastAsia" w:ascii="黑体" w:hAnsi="黑体" w:eastAsia="黑体" w:cs="黑体"/>
          <w:b w:val="0"/>
          <w:bCs w:val="0"/>
          <w:kern w:val="0"/>
          <w:sz w:val="32"/>
          <w:szCs w:val="32"/>
        </w:rPr>
        <w:t>二、主动公开政府信息情况</w:t>
      </w:r>
      <w:r>
        <w:rPr>
          <w:rFonts w:hint="eastAsia" w:ascii="黑体" w:hAnsi="黑体" w:eastAsia="黑体" w:cs="黑体"/>
          <w:b w:val="0"/>
          <w:bCs w:val="0"/>
          <w:kern w:val="0"/>
          <w:sz w:val="32"/>
          <w:szCs w:val="32"/>
          <w:lang w:eastAsia="zh-CN"/>
        </w:rPr>
        <w:t>（</w:t>
      </w:r>
      <w:r>
        <w:rPr>
          <w:rFonts w:hint="eastAsia" w:ascii="黑体" w:hAnsi="黑体" w:eastAsia="黑体" w:cs="黑体"/>
          <w:b w:val="0"/>
          <w:bCs w:val="0"/>
          <w:kern w:val="0"/>
          <w:sz w:val="32"/>
          <w:szCs w:val="32"/>
          <w:lang w:val="en-US" w:eastAsia="zh-CN"/>
        </w:rPr>
        <w:t>空代表无</w:t>
      </w:r>
      <w:r>
        <w:rPr>
          <w:rFonts w:hint="eastAsia" w:ascii="黑体" w:hAnsi="黑体" w:eastAsia="黑体" w:cs="黑体"/>
          <w:b w:val="0"/>
          <w:bCs w:val="0"/>
          <w:kern w:val="0"/>
          <w:sz w:val="32"/>
          <w:szCs w:val="32"/>
          <w:lang w:eastAsia="zh-CN"/>
        </w:rPr>
        <w:t>）</w:t>
      </w:r>
    </w:p>
    <w:tbl>
      <w:tblPr>
        <w:tblStyle w:val="6"/>
        <w:tblW w:w="8200" w:type="dxa"/>
        <w:jc w:val="center"/>
        <w:tblLayout w:type="autofit"/>
        <w:tblCellMar>
          <w:top w:w="0" w:type="dxa"/>
          <w:left w:w="0" w:type="dxa"/>
          <w:bottom w:w="0" w:type="dxa"/>
          <w:right w:w="0" w:type="dxa"/>
        </w:tblCellMar>
      </w:tblPr>
      <w:tblGrid>
        <w:gridCol w:w="2050"/>
        <w:gridCol w:w="2050"/>
        <w:gridCol w:w="2050"/>
        <w:gridCol w:w="2050"/>
      </w:tblGrid>
      <w:tr>
        <w:tblPrEx>
          <w:tblCellMar>
            <w:top w:w="0" w:type="dxa"/>
            <w:left w:w="0" w:type="dxa"/>
            <w:bottom w:w="0" w:type="dxa"/>
            <w:right w:w="0" w:type="dxa"/>
          </w:tblCellMar>
        </w:tblPrEx>
        <w:trPr>
          <w:trHeight w:val="581" w:hRule="atLeast"/>
          <w:jc w:val="center"/>
        </w:trPr>
        <w:tc>
          <w:tcPr>
            <w:tcW w:w="820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第二十条第（一）项</w:t>
            </w:r>
          </w:p>
        </w:tc>
      </w:tr>
      <w:tr>
        <w:tblPrEx>
          <w:tblCellMar>
            <w:top w:w="0" w:type="dxa"/>
            <w:left w:w="0" w:type="dxa"/>
            <w:bottom w:w="0" w:type="dxa"/>
            <w:right w:w="0" w:type="dxa"/>
          </w:tblCellMar>
        </w:tblPrEx>
        <w:trPr>
          <w:trHeight w:val="581"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信息内容</w:t>
            </w:r>
          </w:p>
        </w:tc>
        <w:tc>
          <w:tcPr>
            <w:tcW w:w="205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本年</w:t>
            </w:r>
            <w:r>
              <w:rPr>
                <w:rFonts w:ascii="宋体" w:hAnsi="宋体" w:cs="宋体"/>
                <w:kern w:val="0"/>
                <w:sz w:val="20"/>
                <w:szCs w:val="20"/>
              </w:rPr>
              <w:t>制</w:t>
            </w:r>
            <w:r>
              <w:rPr>
                <w:rFonts w:hint="eastAsia" w:ascii="宋体" w:hAnsi="宋体" w:cs="宋体"/>
                <w:kern w:val="0"/>
                <w:sz w:val="20"/>
                <w:szCs w:val="20"/>
              </w:rPr>
              <w:t>发件</w:t>
            </w:r>
            <w:r>
              <w:rPr>
                <w:rFonts w:ascii="宋体" w:hAnsi="宋体" w:cs="宋体"/>
                <w:kern w:val="0"/>
                <w:sz w:val="20"/>
                <w:szCs w:val="20"/>
              </w:rPr>
              <w:t>数</w:t>
            </w:r>
          </w:p>
        </w:tc>
        <w:tc>
          <w:tcPr>
            <w:tcW w:w="205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本年废止件数</w:t>
            </w:r>
          </w:p>
        </w:tc>
        <w:tc>
          <w:tcPr>
            <w:tcW w:w="205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现行有效件</w:t>
            </w:r>
            <w:r>
              <w:rPr>
                <w:rFonts w:ascii="宋体" w:hAnsi="宋体" w:cs="宋体"/>
                <w:kern w:val="0"/>
                <w:sz w:val="20"/>
                <w:szCs w:val="20"/>
              </w:rPr>
              <w:t>数</w:t>
            </w:r>
          </w:p>
        </w:tc>
      </w:tr>
      <w:tr>
        <w:tblPrEx>
          <w:tblCellMar>
            <w:top w:w="0" w:type="dxa"/>
            <w:left w:w="0" w:type="dxa"/>
            <w:bottom w:w="0" w:type="dxa"/>
            <w:right w:w="0" w:type="dxa"/>
          </w:tblCellMar>
        </w:tblPrEx>
        <w:trPr>
          <w:trHeight w:val="581"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规章</w:t>
            </w:r>
          </w:p>
        </w:tc>
        <w:tc>
          <w:tcPr>
            <w:tcW w:w="205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p>
        </w:tc>
        <w:tc>
          <w:tcPr>
            <w:tcW w:w="205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p>
        </w:tc>
        <w:tc>
          <w:tcPr>
            <w:tcW w:w="205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p>
        </w:tc>
      </w:tr>
      <w:tr>
        <w:tblPrEx>
          <w:tblCellMar>
            <w:top w:w="0" w:type="dxa"/>
            <w:left w:w="0" w:type="dxa"/>
            <w:bottom w:w="0" w:type="dxa"/>
            <w:right w:w="0" w:type="dxa"/>
          </w:tblCellMar>
        </w:tblPrEx>
        <w:trPr>
          <w:trHeight w:val="581"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行政规范性文件</w:t>
            </w:r>
          </w:p>
        </w:tc>
        <w:tc>
          <w:tcPr>
            <w:tcW w:w="205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p>
        </w:tc>
        <w:tc>
          <w:tcPr>
            <w:tcW w:w="205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p>
        </w:tc>
        <w:tc>
          <w:tcPr>
            <w:tcW w:w="205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p>
        </w:tc>
      </w:tr>
      <w:tr>
        <w:tblPrEx>
          <w:tblCellMar>
            <w:top w:w="0" w:type="dxa"/>
            <w:left w:w="0" w:type="dxa"/>
            <w:bottom w:w="0" w:type="dxa"/>
            <w:right w:w="0" w:type="dxa"/>
          </w:tblCellMar>
        </w:tblPrEx>
        <w:trPr>
          <w:trHeight w:val="581" w:hRule="atLeast"/>
          <w:jc w:val="center"/>
        </w:trPr>
        <w:tc>
          <w:tcPr>
            <w:tcW w:w="82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第二十条第（五）项</w:t>
            </w:r>
          </w:p>
        </w:tc>
      </w:tr>
      <w:tr>
        <w:tblPrEx>
          <w:tblCellMar>
            <w:top w:w="0" w:type="dxa"/>
            <w:left w:w="0" w:type="dxa"/>
            <w:bottom w:w="0" w:type="dxa"/>
            <w:right w:w="0" w:type="dxa"/>
          </w:tblCellMar>
        </w:tblPrEx>
        <w:trPr>
          <w:trHeight w:val="581"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信息内容</w:t>
            </w:r>
          </w:p>
        </w:tc>
        <w:tc>
          <w:tcPr>
            <w:tcW w:w="615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本年处理决定数量</w:t>
            </w:r>
          </w:p>
        </w:tc>
      </w:tr>
      <w:tr>
        <w:tblPrEx>
          <w:tblCellMar>
            <w:top w:w="0" w:type="dxa"/>
            <w:left w:w="0" w:type="dxa"/>
            <w:bottom w:w="0" w:type="dxa"/>
            <w:right w:w="0" w:type="dxa"/>
          </w:tblCellMar>
        </w:tblPrEx>
        <w:trPr>
          <w:trHeight w:val="581"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行政许可</w:t>
            </w:r>
          </w:p>
        </w:tc>
        <w:tc>
          <w:tcPr>
            <w:tcW w:w="615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ascii="宋体" w:hAnsi="宋体" w:cs="宋体"/>
                <w:kern w:val="0"/>
                <w:sz w:val="24"/>
                <w:szCs w:val="24"/>
                <w:lang w:val="en-US"/>
              </w:rPr>
              <w:t>70</w:t>
            </w:r>
          </w:p>
        </w:tc>
      </w:tr>
      <w:tr>
        <w:tblPrEx>
          <w:tblCellMar>
            <w:top w:w="0" w:type="dxa"/>
            <w:left w:w="0" w:type="dxa"/>
            <w:bottom w:w="0" w:type="dxa"/>
            <w:right w:w="0" w:type="dxa"/>
          </w:tblCellMar>
        </w:tblPrEx>
        <w:trPr>
          <w:trHeight w:val="581" w:hRule="atLeast"/>
          <w:jc w:val="center"/>
        </w:trPr>
        <w:tc>
          <w:tcPr>
            <w:tcW w:w="82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第二十条第（六）项</w:t>
            </w:r>
          </w:p>
        </w:tc>
      </w:tr>
      <w:tr>
        <w:tblPrEx>
          <w:tblCellMar>
            <w:top w:w="0" w:type="dxa"/>
            <w:left w:w="0" w:type="dxa"/>
            <w:bottom w:w="0" w:type="dxa"/>
            <w:right w:w="0" w:type="dxa"/>
          </w:tblCellMar>
        </w:tblPrEx>
        <w:trPr>
          <w:trHeight w:val="581"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信息内容</w:t>
            </w:r>
          </w:p>
        </w:tc>
        <w:tc>
          <w:tcPr>
            <w:tcW w:w="6150"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本年处理决定数量</w:t>
            </w:r>
          </w:p>
        </w:tc>
      </w:tr>
      <w:tr>
        <w:tblPrEx>
          <w:tblCellMar>
            <w:top w:w="0" w:type="dxa"/>
            <w:left w:w="0" w:type="dxa"/>
            <w:bottom w:w="0" w:type="dxa"/>
            <w:right w:w="0" w:type="dxa"/>
          </w:tblCellMar>
        </w:tblPrEx>
        <w:trPr>
          <w:trHeight w:val="581"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行政处罚</w:t>
            </w:r>
          </w:p>
        </w:tc>
        <w:tc>
          <w:tcPr>
            <w:tcW w:w="615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581"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行政强制</w:t>
            </w:r>
          </w:p>
        </w:tc>
        <w:tc>
          <w:tcPr>
            <w:tcW w:w="615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581" w:hRule="atLeast"/>
          <w:jc w:val="center"/>
        </w:trPr>
        <w:tc>
          <w:tcPr>
            <w:tcW w:w="82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第二十条第（八）项</w:t>
            </w:r>
          </w:p>
        </w:tc>
      </w:tr>
      <w:tr>
        <w:tblPrEx>
          <w:tblCellMar>
            <w:top w:w="0" w:type="dxa"/>
            <w:left w:w="0" w:type="dxa"/>
            <w:bottom w:w="0" w:type="dxa"/>
            <w:right w:w="0" w:type="dxa"/>
          </w:tblCellMar>
        </w:tblPrEx>
        <w:trPr>
          <w:trHeight w:val="581"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信息内容</w:t>
            </w:r>
          </w:p>
        </w:tc>
        <w:tc>
          <w:tcPr>
            <w:tcW w:w="6150"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本年收费金额（单位：万元）</w:t>
            </w:r>
          </w:p>
        </w:tc>
      </w:tr>
      <w:tr>
        <w:tblPrEx>
          <w:tblCellMar>
            <w:top w:w="0" w:type="dxa"/>
            <w:left w:w="0" w:type="dxa"/>
            <w:bottom w:w="0" w:type="dxa"/>
            <w:right w:w="0" w:type="dxa"/>
          </w:tblCellMar>
        </w:tblPrEx>
        <w:trPr>
          <w:trHeight w:val="620" w:hRule="atLeast"/>
          <w:jc w:val="center"/>
        </w:trPr>
        <w:tc>
          <w:tcPr>
            <w:tcW w:w="205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行政事业性收费</w:t>
            </w:r>
          </w:p>
        </w:tc>
        <w:tc>
          <w:tcPr>
            <w:tcW w:w="6150"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r>
    </w:tbl>
    <w:p>
      <w:pPr>
        <w:keepNext w:val="0"/>
        <w:keepLines w:val="0"/>
        <w:pageBreakBefore w:val="0"/>
        <w:widowControl/>
        <w:numPr>
          <w:ilvl w:val="-1"/>
          <w:numId w:val="0"/>
        </w:numPr>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三、收到和处理政府信息公开申请情况</w:t>
      </w:r>
    </w:p>
    <w:tbl>
      <w:tblPr>
        <w:tblStyle w:val="6"/>
        <w:tblW w:w="8219" w:type="dxa"/>
        <w:jc w:val="center"/>
        <w:tblLayout w:type="autofit"/>
        <w:tblCellMar>
          <w:top w:w="0" w:type="dxa"/>
          <w:left w:w="0" w:type="dxa"/>
          <w:bottom w:w="0" w:type="dxa"/>
          <w:right w:w="0" w:type="dxa"/>
        </w:tblCellMar>
      </w:tblPr>
      <w:tblGrid>
        <w:gridCol w:w="645"/>
        <w:gridCol w:w="793"/>
        <w:gridCol w:w="2720"/>
        <w:gridCol w:w="578"/>
        <w:gridCol w:w="578"/>
        <w:gridCol w:w="578"/>
        <w:gridCol w:w="578"/>
        <w:gridCol w:w="578"/>
        <w:gridCol w:w="587"/>
        <w:gridCol w:w="584"/>
      </w:tblGrid>
      <w:tr>
        <w:tblPrEx>
          <w:tblCellMar>
            <w:top w:w="0" w:type="dxa"/>
            <w:left w:w="0" w:type="dxa"/>
            <w:bottom w:w="0" w:type="dxa"/>
            <w:right w:w="0" w:type="dxa"/>
          </w:tblCellMar>
        </w:tblPrEx>
        <w:trPr>
          <w:trHeight w:val="614" w:hRule="atLeast"/>
          <w:jc w:val="center"/>
        </w:trPr>
        <w:tc>
          <w:tcPr>
            <w:tcW w:w="4158"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cs="宋体"/>
                <w:kern w:val="0"/>
                <w:sz w:val="24"/>
                <w:szCs w:val="24"/>
              </w:rPr>
            </w:pPr>
            <w:r>
              <w:rPr>
                <w:rFonts w:hint="eastAsia" w:ascii="楷体" w:hAnsi="楷体" w:eastAsia="楷体" w:cs="宋体"/>
                <w:kern w:val="0"/>
                <w:sz w:val="20"/>
                <w:szCs w:val="20"/>
              </w:rPr>
              <w:t>（本列数据的勾稽关系为：第一项加第二项之和，等于第三项加第四项之和）</w:t>
            </w:r>
          </w:p>
        </w:tc>
        <w:tc>
          <w:tcPr>
            <w:tcW w:w="4061"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申请人情况</w:t>
            </w:r>
          </w:p>
        </w:tc>
      </w:tr>
      <w:tr>
        <w:tblPrEx>
          <w:tblCellMar>
            <w:top w:w="0" w:type="dxa"/>
            <w:left w:w="0" w:type="dxa"/>
            <w:bottom w:w="0" w:type="dxa"/>
            <w:right w:w="0" w:type="dxa"/>
          </w:tblCellMar>
        </w:tblPrEx>
        <w:trPr>
          <w:trHeight w:val="614" w:hRule="atLeast"/>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578"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自然人</w:t>
            </w:r>
          </w:p>
        </w:tc>
        <w:tc>
          <w:tcPr>
            <w:tcW w:w="2899"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法人或其他组织</w:t>
            </w:r>
          </w:p>
        </w:tc>
        <w:tc>
          <w:tcPr>
            <w:tcW w:w="584"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总计</w:t>
            </w:r>
          </w:p>
        </w:tc>
      </w:tr>
      <w:tr>
        <w:tblPrEx>
          <w:tblCellMar>
            <w:top w:w="0" w:type="dxa"/>
            <w:left w:w="0" w:type="dxa"/>
            <w:bottom w:w="0" w:type="dxa"/>
            <w:right w:w="0" w:type="dxa"/>
          </w:tblCellMar>
        </w:tblPrEx>
        <w:trPr>
          <w:trHeight w:val="1722" w:hRule="atLeast"/>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商业</w:t>
            </w:r>
          </w:p>
          <w:p>
            <w:pPr>
              <w:widowControl/>
              <w:spacing w:line="560" w:lineRule="exact"/>
              <w:jc w:val="center"/>
              <w:rPr>
                <w:rFonts w:ascii="宋体" w:hAnsi="宋体" w:cs="宋体"/>
                <w:kern w:val="0"/>
                <w:sz w:val="24"/>
                <w:szCs w:val="24"/>
              </w:rPr>
            </w:pPr>
            <w:r>
              <w:rPr>
                <w:rFonts w:hint="eastAsia" w:ascii="宋体" w:hAnsi="宋体" w:cs="宋体"/>
                <w:kern w:val="0"/>
                <w:sz w:val="20"/>
                <w:szCs w:val="20"/>
              </w:rPr>
              <w:t>企业</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科研</w:t>
            </w:r>
          </w:p>
          <w:p>
            <w:pPr>
              <w:widowControl/>
              <w:spacing w:line="560" w:lineRule="exact"/>
              <w:jc w:val="center"/>
              <w:rPr>
                <w:rFonts w:ascii="宋体" w:hAnsi="宋体" w:cs="宋体"/>
                <w:kern w:val="0"/>
                <w:sz w:val="24"/>
                <w:szCs w:val="24"/>
              </w:rPr>
            </w:pPr>
            <w:r>
              <w:rPr>
                <w:rFonts w:hint="eastAsia" w:ascii="宋体" w:hAnsi="宋体" w:cs="宋体"/>
                <w:kern w:val="0"/>
                <w:sz w:val="20"/>
                <w:szCs w:val="20"/>
              </w:rPr>
              <w:t>机构</w:t>
            </w:r>
          </w:p>
        </w:tc>
        <w:tc>
          <w:tcPr>
            <w:tcW w:w="57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社会公益组织</w:t>
            </w:r>
          </w:p>
        </w:tc>
        <w:tc>
          <w:tcPr>
            <w:tcW w:w="57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法律服务机构</w:t>
            </w:r>
          </w:p>
        </w:tc>
        <w:tc>
          <w:tcPr>
            <w:tcW w:w="587"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其他</w:t>
            </w:r>
          </w:p>
        </w:tc>
        <w:tc>
          <w:tcPr>
            <w:tcW w:w="0" w:type="auto"/>
            <w:vMerge w:val="continue"/>
            <w:tcBorders>
              <w:top w:val="single" w:color="auto" w:sz="8" w:space="0"/>
              <w:left w:val="nil"/>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4158"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一、本年新收政府信息公开申请数量</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4158"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二、上年结转政府信息公开申请数量</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645"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三、本年度办理结果</w:t>
            </w:r>
          </w:p>
        </w:tc>
        <w:tc>
          <w:tcPr>
            <w:tcW w:w="351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（一）予以公开</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84"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1169"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351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（二）部分公开</w:t>
            </w:r>
            <w:r>
              <w:rPr>
                <w:rFonts w:hint="eastAsia" w:ascii="楷体" w:hAnsi="楷体" w:eastAsia="楷体" w:cs="宋体"/>
                <w:kern w:val="0"/>
                <w:sz w:val="20"/>
                <w:szCs w:val="20"/>
              </w:rPr>
              <w:t>（区分处理的，只计这一情形，不计其他情形）</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79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（三）不予公开</w:t>
            </w:r>
          </w:p>
        </w:tc>
        <w:tc>
          <w:tcPr>
            <w:tcW w:w="2720"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1.属于国家秘密</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4"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2.其他法律行政法规禁止公开</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3.危及“三安全一稳定”</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4.保护第三方合法权益</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5.属于三类内部事务信息</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6.属于四类过程性信息</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7.属于行政执法案卷</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8.属于行政查询事项</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79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（四）无法提供</w:t>
            </w:r>
          </w:p>
        </w:tc>
        <w:tc>
          <w:tcPr>
            <w:tcW w:w="2720"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1.本机关不掌握相关政府信息</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2.没有现成信息需要另行制作</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3.补正后申请内容仍不明确</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79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（五）不予处理</w:t>
            </w:r>
          </w:p>
        </w:tc>
        <w:tc>
          <w:tcPr>
            <w:tcW w:w="2720"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1.信访举报投诉类申请</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2.重复申请</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3.要求提供公开出版物</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4.无正当理由大量反复申请</w:t>
            </w: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1169"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2720"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kern w:val="0"/>
                <w:sz w:val="24"/>
                <w:szCs w:val="24"/>
              </w:rPr>
            </w:pPr>
            <w:r>
              <w:rPr>
                <w:rFonts w:hint="eastAsia" w:ascii="宋体" w:hAnsi="宋体" w:cs="宋体"/>
                <w:kern w:val="0"/>
                <w:sz w:val="20"/>
                <w:szCs w:val="20"/>
              </w:rPr>
              <w:t>5.要求行政机关确认或重新出具已获取信息</w:t>
            </w:r>
          </w:p>
        </w:tc>
        <w:tc>
          <w:tcPr>
            <w:tcW w:w="578" w:type="dxa"/>
            <w:tcBorders>
              <w:top w:val="nil"/>
              <w:left w:val="nil"/>
              <w:bottom w:val="inset"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inset"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inset"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inset"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78" w:type="dxa"/>
            <w:tcBorders>
              <w:top w:val="nil"/>
              <w:left w:val="nil"/>
              <w:bottom w:val="inset"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7" w:type="dxa"/>
            <w:tcBorders>
              <w:top w:val="nil"/>
              <w:left w:val="nil"/>
              <w:bottom w:val="inset"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c>
          <w:tcPr>
            <w:tcW w:w="584" w:type="dxa"/>
            <w:tcBorders>
              <w:top w:val="nil"/>
              <w:left w:val="nil"/>
              <w:bottom w:val="inset"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1722"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793"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（六）其他处理</w:t>
            </w:r>
          </w:p>
        </w:tc>
        <w:tc>
          <w:tcPr>
            <w:tcW w:w="27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kern w:val="0"/>
                <w:sz w:val="24"/>
                <w:szCs w:val="24"/>
              </w:rPr>
            </w:pPr>
            <w:r>
              <w:rPr>
                <w:rFonts w:hint="eastAsia" w:ascii="宋体" w:hAnsi="宋体" w:cs="宋体"/>
                <w:kern w:val="0"/>
                <w:sz w:val="20"/>
                <w:szCs w:val="20"/>
              </w:rPr>
              <w:t>1.申请人无正当理由逾期不补正、行政机关不再处理其政府信息公开申请</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1722"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kern w:val="0"/>
                <w:sz w:val="24"/>
                <w:szCs w:val="24"/>
              </w:rPr>
            </w:pPr>
            <w:r>
              <w:rPr>
                <w:rFonts w:hint="eastAsia" w:ascii="宋体" w:hAnsi="宋体" w:cs="宋体"/>
                <w:kern w:val="0"/>
                <w:sz w:val="20"/>
                <w:szCs w:val="20"/>
              </w:rPr>
              <w:t>2.申请人逾期未按收费通知要求缴纳费用、行政机关不再处理其政府信息公开申请</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27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3.其他</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14"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351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（七）总计</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center"/>
              <w:rPr>
                <w:rFonts w:ascii="宋体" w:hAnsi="宋体" w:cs="宋体"/>
                <w:kern w:val="0"/>
                <w:sz w:val="24"/>
                <w:szCs w:val="24"/>
              </w:rPr>
            </w:pPr>
          </w:p>
        </w:tc>
      </w:tr>
      <w:tr>
        <w:tblPrEx>
          <w:tblCellMar>
            <w:top w:w="0" w:type="dxa"/>
            <w:left w:w="0" w:type="dxa"/>
            <w:bottom w:w="0" w:type="dxa"/>
            <w:right w:w="0" w:type="dxa"/>
          </w:tblCellMar>
        </w:tblPrEx>
        <w:trPr>
          <w:trHeight w:val="674" w:hRule="atLeast"/>
          <w:jc w:val="center"/>
        </w:trPr>
        <w:tc>
          <w:tcPr>
            <w:tcW w:w="4158"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kern w:val="0"/>
                <w:sz w:val="24"/>
                <w:szCs w:val="24"/>
              </w:rPr>
            </w:pPr>
            <w:r>
              <w:rPr>
                <w:rFonts w:hint="eastAsia" w:ascii="宋体" w:hAnsi="宋体" w:cs="宋体"/>
                <w:kern w:val="0"/>
                <w:sz w:val="20"/>
                <w:szCs w:val="20"/>
              </w:rPr>
              <w:t>四、结转下年度继续办理</w:t>
            </w: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7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8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center"/>
              <w:rPr>
                <w:rFonts w:ascii="宋体" w:hAnsi="宋体" w:cs="宋体"/>
                <w:kern w:val="0"/>
                <w:sz w:val="24"/>
                <w:szCs w:val="24"/>
              </w:rPr>
            </w:pPr>
          </w:p>
        </w:tc>
        <w:tc>
          <w:tcPr>
            <w:tcW w:w="584" w:type="dxa"/>
            <w:tcBorders>
              <w:top w:val="nil"/>
              <w:left w:val="nil"/>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kern w:val="0"/>
                <w:sz w:val="24"/>
                <w:szCs w:val="24"/>
              </w:rPr>
            </w:pPr>
          </w:p>
        </w:tc>
      </w:tr>
    </w:tbl>
    <w:p>
      <w:pPr>
        <w:keepNext w:val="0"/>
        <w:keepLines w:val="0"/>
        <w:pageBreakBefore w:val="0"/>
        <w:widowControl/>
        <w:numPr>
          <w:ilvl w:val="-1"/>
          <w:numId w:val="0"/>
        </w:numPr>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四、政府信息公开行政复议、行政诉讼情况</w:t>
      </w:r>
    </w:p>
    <w:tbl>
      <w:tblPr>
        <w:tblStyle w:val="6"/>
        <w:tblW w:w="9499" w:type="dxa"/>
        <w:jc w:val="center"/>
        <w:tblLayout w:type="autofit"/>
        <w:tblCellMar>
          <w:top w:w="0" w:type="dxa"/>
          <w:left w:w="0" w:type="dxa"/>
          <w:bottom w:w="0" w:type="dxa"/>
          <w:right w:w="0" w:type="dxa"/>
        </w:tblCellMar>
      </w:tblPr>
      <w:tblGrid>
        <w:gridCol w:w="630"/>
        <w:gridCol w:w="630"/>
        <w:gridCol w:w="630"/>
        <w:gridCol w:w="630"/>
        <w:gridCol w:w="642"/>
        <w:gridCol w:w="630"/>
        <w:gridCol w:w="630"/>
        <w:gridCol w:w="631"/>
        <w:gridCol w:w="631"/>
        <w:gridCol w:w="643"/>
        <w:gridCol w:w="632"/>
        <w:gridCol w:w="632"/>
        <w:gridCol w:w="632"/>
        <w:gridCol w:w="632"/>
        <w:gridCol w:w="644"/>
      </w:tblGrid>
      <w:tr>
        <w:tblPrEx>
          <w:tblCellMar>
            <w:top w:w="0" w:type="dxa"/>
            <w:left w:w="0" w:type="dxa"/>
            <w:bottom w:w="0" w:type="dxa"/>
            <w:right w:w="0" w:type="dxa"/>
          </w:tblCellMar>
        </w:tblPrEx>
        <w:trPr>
          <w:trHeight w:val="571" w:hRule="atLeast"/>
          <w:jc w:val="center"/>
        </w:trPr>
        <w:tc>
          <w:tcPr>
            <w:tcW w:w="3162"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行政复议</w:t>
            </w:r>
          </w:p>
        </w:tc>
        <w:tc>
          <w:tcPr>
            <w:tcW w:w="6337"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行政诉讼</w:t>
            </w:r>
          </w:p>
        </w:tc>
      </w:tr>
      <w:tr>
        <w:tblPrEx>
          <w:tblCellMar>
            <w:top w:w="0" w:type="dxa"/>
            <w:left w:w="0" w:type="dxa"/>
            <w:bottom w:w="0" w:type="dxa"/>
            <w:right w:w="0" w:type="dxa"/>
          </w:tblCellMar>
        </w:tblPrEx>
        <w:trPr>
          <w:trHeight w:val="571" w:hRule="atLeast"/>
          <w:jc w:val="center"/>
        </w:trPr>
        <w:tc>
          <w:tcPr>
            <w:tcW w:w="630"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结果维持</w:t>
            </w:r>
          </w:p>
        </w:tc>
        <w:tc>
          <w:tcPr>
            <w:tcW w:w="630"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0"/>
                <w:szCs w:val="20"/>
              </w:rPr>
            </w:pPr>
            <w:r>
              <w:rPr>
                <w:rFonts w:hint="eastAsia" w:ascii="宋体" w:hAnsi="宋体" w:cs="宋体"/>
                <w:kern w:val="0"/>
                <w:sz w:val="20"/>
                <w:szCs w:val="20"/>
              </w:rPr>
              <w:t>结果</w:t>
            </w:r>
          </w:p>
          <w:p>
            <w:pPr>
              <w:widowControl/>
              <w:spacing w:line="560" w:lineRule="exact"/>
              <w:jc w:val="center"/>
              <w:rPr>
                <w:rFonts w:ascii="宋体" w:hAnsi="宋体" w:cs="宋体"/>
                <w:kern w:val="0"/>
                <w:sz w:val="20"/>
                <w:szCs w:val="20"/>
              </w:rPr>
            </w:pPr>
          </w:p>
          <w:p>
            <w:pPr>
              <w:widowControl/>
              <w:spacing w:line="560" w:lineRule="exact"/>
              <w:jc w:val="center"/>
              <w:rPr>
                <w:rFonts w:ascii="宋体" w:hAnsi="宋体" w:cs="宋体"/>
                <w:kern w:val="0"/>
                <w:sz w:val="24"/>
                <w:szCs w:val="24"/>
              </w:rPr>
            </w:pPr>
            <w:r>
              <w:rPr>
                <w:rFonts w:hint="eastAsia" w:ascii="宋体" w:hAnsi="宋体" w:cs="宋体"/>
                <w:kern w:val="0"/>
                <w:sz w:val="20"/>
                <w:szCs w:val="20"/>
              </w:rPr>
              <w:t>纠正</w:t>
            </w:r>
          </w:p>
        </w:tc>
        <w:tc>
          <w:tcPr>
            <w:tcW w:w="63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0"/>
                <w:szCs w:val="20"/>
              </w:rPr>
            </w:pPr>
            <w:r>
              <w:rPr>
                <w:rFonts w:hint="eastAsia" w:ascii="宋体" w:hAnsi="宋体" w:cs="宋体"/>
                <w:kern w:val="0"/>
                <w:sz w:val="20"/>
                <w:szCs w:val="20"/>
              </w:rPr>
              <w:t>其他</w:t>
            </w:r>
          </w:p>
          <w:p>
            <w:pPr>
              <w:widowControl/>
              <w:spacing w:line="560" w:lineRule="exact"/>
              <w:jc w:val="center"/>
              <w:rPr>
                <w:rFonts w:ascii="宋体" w:hAnsi="宋体" w:cs="宋体"/>
                <w:kern w:val="0"/>
                <w:sz w:val="20"/>
                <w:szCs w:val="20"/>
              </w:rPr>
            </w:pPr>
          </w:p>
          <w:p>
            <w:pPr>
              <w:widowControl/>
              <w:spacing w:line="560" w:lineRule="exact"/>
              <w:jc w:val="center"/>
              <w:rPr>
                <w:rFonts w:ascii="宋体" w:hAnsi="宋体" w:cs="宋体"/>
                <w:kern w:val="0"/>
                <w:sz w:val="24"/>
                <w:szCs w:val="24"/>
              </w:rPr>
            </w:pPr>
            <w:r>
              <w:rPr>
                <w:rFonts w:hint="eastAsia" w:ascii="宋体" w:hAnsi="宋体" w:cs="宋体"/>
                <w:kern w:val="0"/>
                <w:sz w:val="20"/>
                <w:szCs w:val="20"/>
              </w:rPr>
              <w:t>结果</w:t>
            </w:r>
          </w:p>
        </w:tc>
        <w:tc>
          <w:tcPr>
            <w:tcW w:w="63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0"/>
                <w:szCs w:val="20"/>
              </w:rPr>
            </w:pPr>
            <w:r>
              <w:rPr>
                <w:rFonts w:hint="eastAsia" w:ascii="宋体" w:hAnsi="宋体" w:cs="宋体"/>
                <w:kern w:val="0"/>
                <w:sz w:val="20"/>
                <w:szCs w:val="20"/>
              </w:rPr>
              <w:t>尚未</w:t>
            </w:r>
          </w:p>
          <w:p>
            <w:pPr>
              <w:widowControl/>
              <w:spacing w:line="560" w:lineRule="exact"/>
              <w:jc w:val="center"/>
              <w:rPr>
                <w:rFonts w:ascii="宋体" w:hAnsi="宋体" w:cs="宋体"/>
                <w:kern w:val="0"/>
                <w:sz w:val="20"/>
                <w:szCs w:val="20"/>
              </w:rPr>
            </w:pPr>
          </w:p>
          <w:p>
            <w:pPr>
              <w:widowControl/>
              <w:spacing w:line="560" w:lineRule="exact"/>
              <w:jc w:val="center"/>
              <w:rPr>
                <w:rFonts w:ascii="宋体" w:hAnsi="宋体" w:cs="宋体"/>
                <w:kern w:val="0"/>
                <w:sz w:val="24"/>
                <w:szCs w:val="24"/>
              </w:rPr>
            </w:pPr>
            <w:r>
              <w:rPr>
                <w:rFonts w:hint="eastAsia" w:ascii="宋体" w:hAnsi="宋体" w:cs="宋体"/>
                <w:kern w:val="0"/>
                <w:sz w:val="20"/>
                <w:szCs w:val="20"/>
              </w:rPr>
              <w:t>审结</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总计</w:t>
            </w:r>
          </w:p>
        </w:tc>
        <w:tc>
          <w:tcPr>
            <w:tcW w:w="316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未经复议直接起诉</w:t>
            </w:r>
          </w:p>
        </w:tc>
        <w:tc>
          <w:tcPr>
            <w:tcW w:w="3172"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复议后起诉</w:t>
            </w:r>
          </w:p>
        </w:tc>
      </w:tr>
      <w:tr>
        <w:tblPrEx>
          <w:tblCellMar>
            <w:top w:w="0" w:type="dxa"/>
            <w:left w:w="0" w:type="dxa"/>
            <w:bottom w:w="0" w:type="dxa"/>
            <w:right w:w="0" w:type="dxa"/>
          </w:tblCellMar>
        </w:tblPrEx>
        <w:trPr>
          <w:trHeight w:val="2413"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nil"/>
              <w:left w:val="single" w:color="auto" w:sz="8" w:space="0"/>
              <w:bottom w:val="single"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spacing w:line="560" w:lineRule="exact"/>
              <w:jc w:val="left"/>
              <w:rPr>
                <w:rFonts w:ascii="宋体" w:hAnsi="宋体" w:cs="宋体"/>
                <w:kern w:val="0"/>
                <w:sz w:val="24"/>
                <w:szCs w:val="24"/>
              </w:rPr>
            </w:pPr>
          </w:p>
        </w:tc>
        <w:tc>
          <w:tcPr>
            <w:tcW w:w="63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0"/>
                <w:szCs w:val="20"/>
              </w:rPr>
            </w:pPr>
            <w:r>
              <w:rPr>
                <w:rFonts w:hint="eastAsia" w:ascii="宋体" w:hAnsi="宋体" w:cs="宋体"/>
                <w:kern w:val="0"/>
                <w:sz w:val="20"/>
                <w:szCs w:val="20"/>
              </w:rPr>
              <w:t>结果</w:t>
            </w:r>
          </w:p>
          <w:p>
            <w:pPr>
              <w:widowControl/>
              <w:spacing w:line="560" w:lineRule="exact"/>
              <w:jc w:val="center"/>
              <w:rPr>
                <w:rFonts w:ascii="宋体" w:hAnsi="宋体" w:cs="宋体"/>
                <w:kern w:val="0"/>
                <w:sz w:val="20"/>
                <w:szCs w:val="20"/>
              </w:rPr>
            </w:pPr>
          </w:p>
          <w:p>
            <w:pPr>
              <w:widowControl/>
              <w:spacing w:line="560" w:lineRule="exact"/>
              <w:jc w:val="center"/>
              <w:rPr>
                <w:rFonts w:ascii="宋体" w:hAnsi="宋体" w:cs="宋体"/>
                <w:kern w:val="0"/>
                <w:sz w:val="24"/>
                <w:szCs w:val="24"/>
              </w:rPr>
            </w:pPr>
            <w:r>
              <w:rPr>
                <w:rFonts w:hint="eastAsia" w:ascii="宋体" w:hAnsi="宋体" w:cs="宋体"/>
                <w:kern w:val="0"/>
                <w:sz w:val="20"/>
                <w:szCs w:val="20"/>
              </w:rPr>
              <w:t>维持</w:t>
            </w:r>
          </w:p>
        </w:tc>
        <w:tc>
          <w:tcPr>
            <w:tcW w:w="63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0"/>
                <w:szCs w:val="20"/>
              </w:rPr>
            </w:pPr>
            <w:r>
              <w:rPr>
                <w:rFonts w:hint="eastAsia" w:ascii="宋体" w:hAnsi="宋体" w:cs="宋体"/>
                <w:kern w:val="0"/>
                <w:sz w:val="20"/>
                <w:szCs w:val="20"/>
              </w:rPr>
              <w:t>结果</w:t>
            </w:r>
          </w:p>
          <w:p>
            <w:pPr>
              <w:widowControl/>
              <w:spacing w:line="560" w:lineRule="exact"/>
              <w:jc w:val="center"/>
              <w:rPr>
                <w:rFonts w:ascii="宋体" w:hAnsi="宋体" w:cs="宋体"/>
                <w:kern w:val="0"/>
                <w:sz w:val="20"/>
                <w:szCs w:val="20"/>
              </w:rPr>
            </w:pPr>
          </w:p>
          <w:p>
            <w:pPr>
              <w:widowControl/>
              <w:spacing w:line="560" w:lineRule="exact"/>
              <w:jc w:val="center"/>
              <w:rPr>
                <w:rFonts w:ascii="宋体" w:hAnsi="宋体" w:cs="宋体"/>
                <w:kern w:val="0"/>
                <w:sz w:val="24"/>
                <w:szCs w:val="24"/>
              </w:rPr>
            </w:pPr>
            <w:r>
              <w:rPr>
                <w:rFonts w:hint="eastAsia" w:ascii="宋体" w:hAnsi="宋体" w:cs="宋体"/>
                <w:kern w:val="0"/>
                <w:sz w:val="20"/>
                <w:szCs w:val="20"/>
              </w:rPr>
              <w:t>纠正</w:t>
            </w:r>
          </w:p>
        </w:tc>
        <w:tc>
          <w:tcPr>
            <w:tcW w:w="63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0"/>
                <w:szCs w:val="20"/>
              </w:rPr>
            </w:pPr>
            <w:r>
              <w:rPr>
                <w:rFonts w:hint="eastAsia" w:ascii="宋体" w:hAnsi="宋体" w:cs="宋体"/>
                <w:kern w:val="0"/>
                <w:sz w:val="20"/>
                <w:szCs w:val="20"/>
              </w:rPr>
              <w:t>其他</w:t>
            </w:r>
          </w:p>
          <w:p>
            <w:pPr>
              <w:widowControl/>
              <w:spacing w:line="560" w:lineRule="exact"/>
              <w:jc w:val="center"/>
              <w:rPr>
                <w:rFonts w:ascii="宋体" w:hAnsi="宋体" w:cs="宋体"/>
                <w:kern w:val="0"/>
                <w:sz w:val="20"/>
                <w:szCs w:val="20"/>
              </w:rPr>
            </w:pPr>
          </w:p>
          <w:p>
            <w:pPr>
              <w:widowControl/>
              <w:spacing w:line="560" w:lineRule="exact"/>
              <w:jc w:val="center"/>
              <w:rPr>
                <w:rFonts w:ascii="宋体" w:hAnsi="宋体" w:cs="宋体"/>
                <w:kern w:val="0"/>
                <w:sz w:val="24"/>
                <w:szCs w:val="24"/>
              </w:rPr>
            </w:pPr>
            <w:r>
              <w:rPr>
                <w:rFonts w:hint="eastAsia" w:ascii="宋体" w:hAnsi="宋体" w:cs="宋体"/>
                <w:kern w:val="0"/>
                <w:sz w:val="20"/>
                <w:szCs w:val="20"/>
              </w:rPr>
              <w:t>结果</w:t>
            </w:r>
          </w:p>
        </w:tc>
        <w:tc>
          <w:tcPr>
            <w:tcW w:w="63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0"/>
                <w:szCs w:val="20"/>
              </w:rPr>
            </w:pPr>
            <w:r>
              <w:rPr>
                <w:rFonts w:hint="eastAsia" w:ascii="宋体" w:hAnsi="宋体" w:cs="宋体"/>
                <w:kern w:val="0"/>
                <w:sz w:val="20"/>
                <w:szCs w:val="20"/>
              </w:rPr>
              <w:t>尚未</w:t>
            </w:r>
          </w:p>
          <w:p>
            <w:pPr>
              <w:widowControl/>
              <w:spacing w:line="560" w:lineRule="exact"/>
              <w:jc w:val="center"/>
              <w:rPr>
                <w:rFonts w:ascii="宋体" w:hAnsi="宋体" w:cs="宋体"/>
                <w:kern w:val="0"/>
                <w:sz w:val="20"/>
                <w:szCs w:val="20"/>
              </w:rPr>
            </w:pPr>
          </w:p>
          <w:p>
            <w:pPr>
              <w:widowControl/>
              <w:spacing w:line="560" w:lineRule="exact"/>
              <w:jc w:val="center"/>
              <w:rPr>
                <w:rFonts w:ascii="宋体" w:hAnsi="宋体" w:cs="宋体"/>
                <w:kern w:val="0"/>
                <w:sz w:val="24"/>
                <w:szCs w:val="24"/>
              </w:rPr>
            </w:pPr>
            <w:r>
              <w:rPr>
                <w:rFonts w:hint="eastAsia" w:ascii="宋体" w:hAnsi="宋体" w:cs="宋体"/>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总计</w:t>
            </w:r>
          </w:p>
        </w:tc>
        <w:tc>
          <w:tcPr>
            <w:tcW w:w="63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0"/>
                <w:szCs w:val="20"/>
              </w:rPr>
            </w:pPr>
            <w:r>
              <w:rPr>
                <w:rFonts w:hint="eastAsia" w:ascii="宋体" w:hAnsi="宋体" w:cs="宋体"/>
                <w:kern w:val="0"/>
                <w:sz w:val="20"/>
                <w:szCs w:val="20"/>
              </w:rPr>
              <w:t>结果</w:t>
            </w:r>
          </w:p>
          <w:p>
            <w:pPr>
              <w:widowControl/>
              <w:spacing w:line="560" w:lineRule="exact"/>
              <w:jc w:val="center"/>
              <w:rPr>
                <w:rFonts w:ascii="宋体" w:hAnsi="宋体" w:cs="宋体"/>
                <w:kern w:val="0"/>
                <w:sz w:val="20"/>
                <w:szCs w:val="20"/>
              </w:rPr>
            </w:pPr>
          </w:p>
          <w:p>
            <w:pPr>
              <w:widowControl/>
              <w:spacing w:line="560" w:lineRule="exact"/>
              <w:jc w:val="center"/>
              <w:rPr>
                <w:rFonts w:ascii="宋体" w:hAnsi="宋体" w:cs="宋体"/>
                <w:kern w:val="0"/>
                <w:sz w:val="24"/>
                <w:szCs w:val="24"/>
              </w:rPr>
            </w:pPr>
            <w:r>
              <w:rPr>
                <w:rFonts w:hint="eastAsia" w:ascii="宋体" w:hAnsi="宋体" w:cs="宋体"/>
                <w:kern w:val="0"/>
                <w:sz w:val="20"/>
                <w:szCs w:val="20"/>
              </w:rPr>
              <w:t>维持</w:t>
            </w:r>
          </w:p>
        </w:tc>
        <w:tc>
          <w:tcPr>
            <w:tcW w:w="63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0"/>
                <w:szCs w:val="20"/>
              </w:rPr>
            </w:pPr>
            <w:r>
              <w:rPr>
                <w:rFonts w:hint="eastAsia" w:ascii="宋体" w:hAnsi="宋体" w:cs="宋体"/>
                <w:kern w:val="0"/>
                <w:sz w:val="20"/>
                <w:szCs w:val="20"/>
              </w:rPr>
              <w:t>结果</w:t>
            </w:r>
          </w:p>
          <w:p>
            <w:pPr>
              <w:widowControl/>
              <w:spacing w:line="560" w:lineRule="exact"/>
              <w:jc w:val="center"/>
              <w:rPr>
                <w:rFonts w:ascii="宋体" w:hAnsi="宋体" w:cs="宋体"/>
                <w:kern w:val="0"/>
                <w:sz w:val="20"/>
                <w:szCs w:val="20"/>
              </w:rPr>
            </w:pPr>
          </w:p>
          <w:p>
            <w:pPr>
              <w:widowControl/>
              <w:spacing w:line="560" w:lineRule="exact"/>
              <w:jc w:val="center"/>
              <w:rPr>
                <w:rFonts w:ascii="宋体" w:hAnsi="宋体" w:cs="宋体"/>
                <w:kern w:val="0"/>
                <w:sz w:val="24"/>
                <w:szCs w:val="24"/>
              </w:rPr>
            </w:pPr>
            <w:r>
              <w:rPr>
                <w:rFonts w:hint="eastAsia" w:ascii="宋体" w:hAnsi="宋体" w:cs="宋体"/>
                <w:kern w:val="0"/>
                <w:sz w:val="20"/>
                <w:szCs w:val="20"/>
              </w:rPr>
              <w:t>纠正</w:t>
            </w:r>
          </w:p>
        </w:tc>
        <w:tc>
          <w:tcPr>
            <w:tcW w:w="63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0"/>
                <w:szCs w:val="20"/>
              </w:rPr>
            </w:pPr>
            <w:r>
              <w:rPr>
                <w:rFonts w:hint="eastAsia" w:ascii="宋体" w:hAnsi="宋体" w:cs="宋体"/>
                <w:kern w:val="0"/>
                <w:sz w:val="20"/>
                <w:szCs w:val="20"/>
              </w:rPr>
              <w:t>其他</w:t>
            </w:r>
          </w:p>
          <w:p>
            <w:pPr>
              <w:widowControl/>
              <w:spacing w:line="560" w:lineRule="exact"/>
              <w:jc w:val="center"/>
              <w:rPr>
                <w:rFonts w:ascii="宋体" w:hAnsi="宋体" w:cs="宋体"/>
                <w:kern w:val="0"/>
                <w:sz w:val="20"/>
                <w:szCs w:val="20"/>
              </w:rPr>
            </w:pPr>
          </w:p>
          <w:p>
            <w:pPr>
              <w:widowControl/>
              <w:spacing w:line="560" w:lineRule="exact"/>
              <w:jc w:val="center"/>
              <w:rPr>
                <w:rFonts w:ascii="宋体" w:hAnsi="宋体" w:cs="宋体"/>
                <w:kern w:val="0"/>
                <w:sz w:val="24"/>
                <w:szCs w:val="24"/>
              </w:rPr>
            </w:pPr>
            <w:r>
              <w:rPr>
                <w:rFonts w:hint="eastAsia" w:ascii="宋体" w:hAnsi="宋体" w:cs="宋体"/>
                <w:kern w:val="0"/>
                <w:sz w:val="20"/>
                <w:szCs w:val="20"/>
              </w:rPr>
              <w:t>结果</w:t>
            </w:r>
          </w:p>
        </w:tc>
        <w:tc>
          <w:tcPr>
            <w:tcW w:w="63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0"/>
                <w:szCs w:val="20"/>
              </w:rPr>
            </w:pPr>
            <w:r>
              <w:rPr>
                <w:rFonts w:hint="eastAsia" w:ascii="宋体" w:hAnsi="宋体" w:cs="宋体"/>
                <w:kern w:val="0"/>
                <w:sz w:val="20"/>
                <w:szCs w:val="20"/>
              </w:rPr>
              <w:t>尚未</w:t>
            </w:r>
          </w:p>
          <w:p>
            <w:pPr>
              <w:widowControl/>
              <w:spacing w:line="560" w:lineRule="exact"/>
              <w:jc w:val="center"/>
              <w:rPr>
                <w:rFonts w:ascii="宋体" w:hAnsi="宋体" w:cs="宋体"/>
                <w:kern w:val="0"/>
                <w:sz w:val="20"/>
                <w:szCs w:val="20"/>
              </w:rPr>
            </w:pPr>
          </w:p>
          <w:p>
            <w:pPr>
              <w:widowControl/>
              <w:spacing w:line="560" w:lineRule="exact"/>
              <w:jc w:val="center"/>
              <w:rPr>
                <w:rFonts w:ascii="宋体" w:hAnsi="宋体" w:cs="宋体"/>
                <w:kern w:val="0"/>
                <w:sz w:val="24"/>
                <w:szCs w:val="24"/>
              </w:rPr>
            </w:pPr>
            <w:r>
              <w:rPr>
                <w:rFonts w:hint="eastAsia" w:ascii="宋体" w:hAnsi="宋体" w:cs="宋体"/>
                <w:kern w:val="0"/>
                <w:sz w:val="20"/>
                <w:szCs w:val="20"/>
              </w:rPr>
              <w:t>审结</w:t>
            </w:r>
          </w:p>
        </w:tc>
        <w:tc>
          <w:tcPr>
            <w:tcW w:w="64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r>
              <w:rPr>
                <w:rFonts w:hint="eastAsia" w:ascii="宋体" w:hAnsi="宋体" w:cs="宋体"/>
                <w:kern w:val="0"/>
                <w:sz w:val="20"/>
                <w:szCs w:val="20"/>
              </w:rPr>
              <w:t>总计</w:t>
            </w:r>
          </w:p>
        </w:tc>
      </w:tr>
      <w:tr>
        <w:tblPrEx>
          <w:tblCellMar>
            <w:top w:w="0" w:type="dxa"/>
            <w:left w:w="0" w:type="dxa"/>
            <w:bottom w:w="0" w:type="dxa"/>
            <w:right w:w="0" w:type="dxa"/>
          </w:tblCellMar>
        </w:tblPrEx>
        <w:trPr>
          <w:trHeight w:val="718" w:hRule="atLeast"/>
          <w:jc w:val="center"/>
        </w:trPr>
        <w:tc>
          <w:tcPr>
            <w:tcW w:w="63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p>
        </w:tc>
        <w:tc>
          <w:tcPr>
            <w:tcW w:w="63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p>
        </w:tc>
        <w:tc>
          <w:tcPr>
            <w:tcW w:w="63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p>
        </w:tc>
        <w:tc>
          <w:tcPr>
            <w:tcW w:w="63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p>
        </w:tc>
        <w:tc>
          <w:tcPr>
            <w:tcW w:w="63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p>
        </w:tc>
        <w:tc>
          <w:tcPr>
            <w:tcW w:w="63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p>
        </w:tc>
        <w:tc>
          <w:tcPr>
            <w:tcW w:w="63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p>
        </w:tc>
        <w:tc>
          <w:tcPr>
            <w:tcW w:w="63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p>
        </w:tc>
        <w:tc>
          <w:tcPr>
            <w:tcW w:w="63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p>
        </w:tc>
        <w:tc>
          <w:tcPr>
            <w:tcW w:w="63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p>
        </w:tc>
        <w:tc>
          <w:tcPr>
            <w:tcW w:w="63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p>
        </w:tc>
        <w:tc>
          <w:tcPr>
            <w:tcW w:w="63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center"/>
              <w:rPr>
                <w:rFonts w:ascii="宋体" w:hAnsi="宋体" w:cs="宋体"/>
                <w:kern w:val="0"/>
                <w:sz w:val="24"/>
                <w:szCs w:val="24"/>
              </w:rPr>
            </w:pPr>
          </w:p>
        </w:tc>
        <w:tc>
          <w:tcPr>
            <w:tcW w:w="64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cs="宋体"/>
                <w:kern w:val="0"/>
                <w:sz w:val="24"/>
                <w:szCs w:val="24"/>
              </w:rPr>
            </w:pPr>
          </w:p>
        </w:tc>
      </w:tr>
    </w:tbl>
    <w:p>
      <w:pPr>
        <w:keepNext w:val="0"/>
        <w:keepLines w:val="0"/>
        <w:pageBreakBefore w:val="0"/>
        <w:widowControl/>
        <w:numPr>
          <w:ilvl w:val="-1"/>
          <w:numId w:val="0"/>
        </w:numPr>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五、存在的主要问题及改进情况</w:t>
      </w:r>
    </w:p>
    <w:p>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银川市气象局信息公开工作在上级有关部门的领导下取得了一些成效，但同时仍然存在一些问题：一是公开的内容和形式还欠丰富</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公开渠道比较单一；</w:t>
      </w:r>
      <w:r>
        <w:rPr>
          <w:rFonts w:hint="eastAsia" w:ascii="仿宋_GB2312" w:hAnsi="仿宋_GB2312" w:eastAsia="仿宋_GB2312" w:cs="仿宋_GB2312"/>
          <w:kern w:val="0"/>
          <w:sz w:val="32"/>
          <w:szCs w:val="32"/>
          <w:lang w:eastAsia="zh-CN"/>
        </w:rPr>
        <w:t>二</w:t>
      </w:r>
      <w:r>
        <w:rPr>
          <w:rFonts w:hint="eastAsia" w:ascii="仿宋_GB2312" w:hAnsi="仿宋_GB2312" w:eastAsia="仿宋_GB2312" w:cs="仿宋_GB2312"/>
          <w:kern w:val="0"/>
          <w:sz w:val="32"/>
          <w:szCs w:val="32"/>
        </w:rPr>
        <w:t>是对政府信息公开相关政策规定学习还需进一步强化，认识还需要提高。</w:t>
      </w:r>
    </w:p>
    <w:p>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下一步，银川市气象局将按照上级要求，继续大力推进信息公开工作，积极回应社会关切，做好舆论引导；多渠道、多形式，向社会和广大群众深入宣传信息公开工作；进一步完善信息公开各项规章制度，形成以制度管人、以制度谋事的长效机制，进一步规范信息公开工作。不断提高思想认识，不断改进工作作风和方式方法，提高信息公开工作水平，高效完成信息公开工作。充分运用新闻媒体资源开展宣传解读，扩大政务公开的覆盖面和影响力。</w:t>
      </w:r>
    </w:p>
    <w:p>
      <w:pPr>
        <w:keepNext w:val="0"/>
        <w:keepLines w:val="0"/>
        <w:pageBreakBefore w:val="0"/>
        <w:widowControl/>
        <w:numPr>
          <w:ilvl w:val="-1"/>
          <w:numId w:val="0"/>
        </w:numPr>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六、其他需要报告的事项</w:t>
      </w:r>
    </w:p>
    <w:p>
      <w:pPr>
        <w:pStyle w:val="5"/>
        <w:widowControl/>
        <w:spacing w:beforeAutospacing="0" w:afterAutospacing="0" w:line="240" w:lineRule="auto"/>
        <w:ind w:firstLine="465"/>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本报告的电子版可以在宁夏气象局政府网站（</w:t>
      </w:r>
      <w:r>
        <w:rPr>
          <w:rFonts w:hint="eastAsia" w:ascii="仿宋_GB2312" w:hAnsi="仿宋_GB2312" w:eastAsia="仿宋_GB2312" w:cs="仿宋_GB2312"/>
          <w:kern w:val="0"/>
          <w:sz w:val="32"/>
          <w:szCs w:val="32"/>
          <w:lang w:val="en-US" w:eastAsia="zh-CN" w:bidi="ar-SA"/>
        </w:rPr>
        <w:fldChar w:fldCharType="begin"/>
      </w:r>
      <w:r>
        <w:rPr>
          <w:rFonts w:hint="eastAsia" w:ascii="仿宋_GB2312" w:hAnsi="仿宋_GB2312" w:eastAsia="仿宋_GB2312" w:cs="仿宋_GB2312"/>
          <w:kern w:val="0"/>
          <w:sz w:val="32"/>
          <w:szCs w:val="32"/>
          <w:lang w:val="en-US" w:eastAsia="zh-CN" w:bidi="ar-SA"/>
        </w:rPr>
        <w:instrText xml:space="preserve"> HYPERLINK "http://nx.cma.gov.cn/" </w:instrText>
      </w:r>
      <w:r>
        <w:rPr>
          <w:rFonts w:hint="eastAsia" w:ascii="仿宋_GB2312" w:hAnsi="仿宋_GB2312" w:eastAsia="仿宋_GB2312" w:cs="仿宋_GB2312"/>
          <w:kern w:val="0"/>
          <w:sz w:val="32"/>
          <w:szCs w:val="32"/>
          <w:lang w:val="en-US" w:eastAsia="zh-CN" w:bidi="ar-SA"/>
        </w:rPr>
        <w:fldChar w:fldCharType="separate"/>
      </w:r>
      <w:r>
        <w:rPr>
          <w:rFonts w:hint="eastAsia" w:ascii="仿宋_GB2312" w:hAnsi="仿宋_GB2312" w:eastAsia="仿宋_GB2312" w:cs="仿宋_GB2312"/>
          <w:kern w:val="0"/>
          <w:sz w:val="32"/>
          <w:szCs w:val="32"/>
          <w:lang w:val="en-US" w:eastAsia="zh-CN" w:bidi="ar-SA"/>
        </w:rPr>
        <w:t>http://nx.cma.gov.cn/</w:t>
      </w:r>
      <w:r>
        <w:rPr>
          <w:rFonts w:hint="eastAsia" w:ascii="仿宋_GB2312" w:hAnsi="仿宋_GB2312" w:eastAsia="仿宋_GB2312" w:cs="仿宋_GB2312"/>
          <w:kern w:val="0"/>
          <w:sz w:val="32"/>
          <w:szCs w:val="32"/>
          <w:lang w:val="en-US" w:eastAsia="zh-CN" w:bidi="ar-SA"/>
        </w:rPr>
        <w:fldChar w:fldCharType="end"/>
      </w:r>
      <w:r>
        <w:rPr>
          <w:rFonts w:hint="eastAsia" w:ascii="仿宋_GB2312" w:hAnsi="仿宋_GB2312" w:eastAsia="仿宋_GB2312" w:cs="仿宋_GB2312"/>
          <w:kern w:val="0"/>
          <w:sz w:val="32"/>
          <w:szCs w:val="32"/>
          <w:lang w:val="en-US" w:eastAsia="zh-CN" w:bidi="ar-SA"/>
        </w:rPr>
        <w:t>）下载。如对本年度报告有任何疑问，请与宁夏气象局办公室联系（地址：宁</w:t>
      </w:r>
      <w:bookmarkStart w:id="0" w:name="_GoBack"/>
      <w:bookmarkEnd w:id="0"/>
      <w:r>
        <w:rPr>
          <w:rFonts w:hint="eastAsia" w:ascii="仿宋_GB2312" w:hAnsi="仿宋_GB2312" w:eastAsia="仿宋_GB2312" w:cs="仿宋_GB2312"/>
          <w:kern w:val="0"/>
          <w:sz w:val="32"/>
          <w:szCs w:val="32"/>
          <w:lang w:val="en-US" w:eastAsia="zh-CN" w:bidi="ar-SA"/>
        </w:rPr>
        <w:t>夏银川市金凤区新昌西路71号；邮编：750001；联系电话：0951-5029825）。</w:t>
      </w:r>
    </w:p>
    <w:p>
      <w:pPr>
        <w:keepNext w:val="0"/>
        <w:keepLines w:val="0"/>
        <w:pageBreakBefore w:val="0"/>
        <w:widowControl/>
        <w:shd w:val="clear" w:color="auto" w:fill="FFFFFF"/>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3"/>
                          </w:pPr>
                          <w: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rPr>
                            <w:t xml:space="preserve"> </w:t>
                          </w:r>
                          <w:r>
                            <w:t>—</w:t>
                          </w:r>
                        </w:p>
                      </w:txbxContent>
                    </wps:txbx>
                    <wps:bodyPr vert="horz" wrap="none" lIns="0" tIns="0" rIns="0" bIns="0" anchor="t" upright="1">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skYo+NIBAACeAwAADgAAAAAAAAABACAAAAAfAQAA&#10;ZHJzL2Uyb0RvYy54bWxQSwUGAAAAAAYABgBZAQAAYwUAAAAA&#10;">
              <v:fill on="f" focussize="0,0"/>
              <v:stroke on="f"/>
              <v:imagedata o:title=""/>
              <o:lock v:ext="edit" aspectratio="f"/>
              <v:textbox inset="0mm,0mm,0mm,0mm" style="mso-fit-shape-to-text:t;">
                <w:txbxContent>
                  <w:p>
                    <w:pPr>
                      <w:pStyle w:val="3"/>
                    </w:pPr>
                    <w: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rPr>
                      <w:t xml:space="preserve"> </w:t>
                    </w:r>
                    <w:r>
                      <w:t>—</w:t>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7"/>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jZjIxZjBiODcyNTM2NWFmNDA1ODM5MzBlMjU2ZDMifQ=="/>
  </w:docVars>
  <w:rsids>
    <w:rsidRoot w:val="00000000"/>
    <w:rsid w:val="09497E1A"/>
    <w:rsid w:val="0C347E14"/>
    <w:rsid w:val="169246A1"/>
    <w:rsid w:val="1DAB5CAE"/>
    <w:rsid w:val="282C7B41"/>
    <w:rsid w:val="6C4A71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autoRedefine/>
    <w:qFormat/>
    <w:uiPriority w:val="0"/>
    <w:pPr>
      <w:keepNext/>
      <w:keepLines/>
      <w:spacing w:before="340" w:after="330" w:line="578" w:lineRule="atLeast"/>
      <w:outlineLvl w:val="0"/>
    </w:pPr>
    <w:rPr>
      <w:b/>
      <w:bCs/>
      <w:kern w:val="44"/>
      <w:sz w:val="44"/>
      <w:szCs w:val="44"/>
    </w:rPr>
  </w:style>
  <w:style w:type="character" w:default="1" w:styleId="7">
    <w:name w:val="Default Paragraph Font"/>
    <w:autoRedefine/>
    <w:qFormat/>
    <w:uiPriority w:val="1"/>
  </w:style>
  <w:style w:type="table" w:default="1" w:styleId="6">
    <w:name w:val="Normal Table"/>
    <w:autoRedefine/>
    <w:qFormat/>
    <w:uiPriority w:val="99"/>
    <w:tblPr>
      <w:tblCellMar>
        <w:top w:w="0" w:type="dxa"/>
        <w:left w:w="108" w:type="dxa"/>
        <w:bottom w:w="0" w:type="dxa"/>
        <w:right w:w="108" w:type="dxa"/>
      </w:tblCellMar>
    </w:tblPr>
  </w:style>
  <w:style w:type="paragraph" w:styleId="3">
    <w:name w:val="footer"/>
    <w:basedOn w:val="1"/>
    <w:autoRedefine/>
    <w:qFormat/>
    <w:uiPriority w:val="99"/>
    <w:pPr>
      <w:tabs>
        <w:tab w:val="center" w:pos="4153"/>
        <w:tab w:val="right" w:pos="8306"/>
      </w:tabs>
      <w:snapToGrid w:val="0"/>
      <w:jc w:val="left"/>
    </w:pPr>
    <w:rPr>
      <w:sz w:val="18"/>
    </w:rPr>
  </w:style>
  <w:style w:type="paragraph" w:styleId="4">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character" w:styleId="8">
    <w:name w:val="page number"/>
    <w:basedOn w:val="7"/>
    <w:autoRedefine/>
    <w:qFormat/>
    <w:uiPriority w:val="0"/>
  </w:style>
  <w:style w:type="character" w:styleId="9">
    <w:name w:val="Hyperlink"/>
    <w:autoRedefine/>
    <w:qFormat/>
    <w:uiPriority w:val="0"/>
    <w:rPr>
      <w:color w:val="0000FF"/>
      <w:u w:val="none"/>
    </w:rPr>
  </w:style>
  <w:style w:type="paragraph" w:customStyle="1" w:styleId="10">
    <w:name w:val="Char Char Char Char Char Char Char Char Char1 Char Char Char Char Char Char Char Char Char Char Char Char Char Char Char Char Char Char Char Char Char Char"/>
    <w:basedOn w:val="2"/>
    <w:autoRedefine/>
    <w:qFormat/>
    <w:uiPriority w:val="0"/>
    <w:pPr>
      <w:snapToGrid w:val="0"/>
      <w:spacing w:before="240" w:after="240" w:line="348" w:lineRule="auto"/>
    </w:pPr>
    <w:rPr>
      <w:rFonts w:ascii="Tahoma" w:hAnsi="Tahoma" w:eastAsia="宋体"/>
      <w:bCs w:val="0"/>
      <w:kern w:val="2"/>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5</Pages>
  <Words>2387</Words>
  <Characters>2456</Characters>
  <Paragraphs>420</Paragraphs>
  <TotalTime>3</TotalTime>
  <ScaleCrop>false</ScaleCrop>
  <LinksUpToDate>false</LinksUpToDate>
  <CharactersWithSpaces>2459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2021-10-28T01:55:00Z</dcterms:created>
  <dc:creator>李小平</dc:creator>
  <cp:lastModifiedBy>杨婧</cp:lastModifiedBy>
  <dcterms:modified xsi:type="dcterms:W3CDTF">2024-01-16T06:22:57Z</dcterms:modified>
  <dc:title>国务院办公厅政府信息与政务公开办公室</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A7578D146B904C39972B8230B1499C14</vt:lpwstr>
  </property>
</Properties>
</file>