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6" w:lineRule="exact"/>
        <w:rPr>
          <w:rFonts w:ascii="仿宋_GB2312"/>
          <w:w w:val="80"/>
          <w:szCs w:val="32"/>
        </w:rPr>
      </w:pPr>
      <w:r>
        <w:rPr>
          <w:rFonts w:hint="eastAsia" w:ascii="宋体" w:hAnsi="宋体" w:eastAsia="宋体"/>
          <w:spacing w:val="-6"/>
        </w:rPr>
        <mc:AlternateContent>
          <mc:Choice Requires="wps">
            <w:drawing>
              <wp:anchor distT="0" distB="0" distL="114300" distR="114300" simplePos="0" relativeHeight="251659264" behindDoc="1" locked="0" layoutInCell="1" allowOverlap="1">
                <wp:simplePos x="0" y="0"/>
                <wp:positionH relativeFrom="column">
                  <wp:posOffset>-266065</wp:posOffset>
                </wp:positionH>
                <wp:positionV relativeFrom="page">
                  <wp:posOffset>9947910</wp:posOffset>
                </wp:positionV>
                <wp:extent cx="6120130" cy="0"/>
                <wp:effectExtent l="0" t="28575" r="13970" b="28575"/>
                <wp:wrapNone/>
                <wp:docPr id="3" name="直接连接符 3"/>
                <wp:cNvGraphicFramePr/>
                <a:graphic xmlns:a="http://schemas.openxmlformats.org/drawingml/2006/main">
                  <a:graphicData uri="http://schemas.microsoft.com/office/word/2010/wordprocessingShape">
                    <wps:wsp>
                      <wps:cNvCnPr/>
                      <wps:spPr>
                        <a:xfrm>
                          <a:off x="0" y="0"/>
                          <a:ext cx="6120130" cy="0"/>
                        </a:xfrm>
                        <a:prstGeom prst="line">
                          <a:avLst/>
                        </a:prstGeom>
                        <a:ln w="57150" cap="flat" cmpd="thinThick">
                          <a:solidFill>
                            <a:srgbClr val="FF0000"/>
                          </a:solidFill>
                          <a:prstDash val="solid"/>
                          <a:headEnd type="none" w="med" len="med"/>
                          <a:tailEnd type="none" w="med" len="med"/>
                        </a:ln>
                      </wps:spPr>
                      <wps:bodyPr/>
                    </wps:wsp>
                  </a:graphicData>
                </a:graphic>
              </wp:anchor>
            </w:drawing>
          </mc:Choice>
          <mc:Fallback>
            <w:pict>
              <v:line id="_x0000_s1026" o:spid="_x0000_s1026" o:spt="20" style="position:absolute;left:0pt;margin-left:-20.95pt;margin-top:783.3pt;height:0pt;width:481.9pt;mso-position-vertical-relative:page;z-index:-251657216;mso-width-relative:page;mso-height-relative:page;" filled="f" stroked="t" coordsize="21600,21600" o:gfxdata="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4OBot1gAAAA0BAAAPAAAAAAAAAAEAIAAAACIAAABkcnMvZG93bnJldi54bWxQSwECFAAU&#10;AAAACACHTuJAFfUmjvMBAADfAwAADgAAAAAAAAABACAAAAAlAQAAZHJzL2Uyb0RvYy54bWxQSwUG&#10;AAAAAAYABgBZAQAAigUAAAAA&#10;">
                <v:fill on="f" focussize="0,0"/>
                <v:stroke weight="4.5pt" color="#FF0000" linestyle="thinThick" joinstyle="round"/>
                <v:imagedata o:title=""/>
                <o:lock v:ext="edit" aspectratio="f"/>
              </v:line>
            </w:pict>
          </mc:Fallback>
        </mc:AlternateConten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60" w:lineRule="exact"/>
        <w:ind w:left="0" w:right="0" w:firstLine="0"/>
        <w:jc w:val="center"/>
        <w:textAlignment w:val="auto"/>
        <w:rPr>
          <w:rFonts w:hint="eastAsia" w:ascii="方正小标宋简体" w:hAnsi="宋体" w:eastAsia="方正小标宋简体"/>
          <w:b w:val="0"/>
          <w:bCs w:val="0"/>
          <w:spacing w:val="-6"/>
          <w:sz w:val="44"/>
          <w:szCs w:val="44"/>
        </w:rPr>
      </w:pPr>
      <w:r>
        <w:rPr>
          <w:rFonts w:hint="eastAsia" w:ascii="方正小标宋简体" w:hAnsi="宋体" w:eastAsia="方正小标宋简体"/>
          <w:b w:val="0"/>
          <w:bCs w:val="0"/>
          <w:spacing w:val="-6"/>
          <w:sz w:val="44"/>
          <w:szCs w:val="44"/>
        </w:rPr>
        <w:t>吴忠市气象局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60" w:lineRule="exact"/>
        <w:ind w:left="0" w:right="0" w:firstLine="0"/>
        <w:jc w:val="center"/>
        <w:textAlignment w:val="auto"/>
        <w:rPr>
          <w:rFonts w:ascii="仿宋_GB2312"/>
          <w:bCs/>
          <w:szCs w:val="32"/>
        </w:rPr>
      </w:pPr>
      <w:r>
        <w:rPr>
          <w:rFonts w:hint="eastAsia" w:ascii="方正小标宋简体" w:hAnsi="方正小标宋简体" w:eastAsia="方正小标宋简体" w:cs="方正小标宋简体"/>
          <w:b w:val="0"/>
          <w:bCs w:val="0"/>
          <w:i w:val="0"/>
          <w:iCs w:val="0"/>
          <w:caps w:val="0"/>
          <w:spacing w:val="0"/>
          <w:sz w:val="44"/>
          <w:szCs w:val="44"/>
        </w:rPr>
        <w:t>2023年政府信息公开工作年度报告</w:t>
      </w:r>
    </w:p>
    <w:p>
      <w:pPr>
        <w:spacing w:line="600" w:lineRule="exact"/>
        <w:rPr>
          <w:rFonts w:ascii="仿宋_GB2312"/>
          <w:bCs/>
          <w:szCs w:val="32"/>
        </w:rPr>
      </w:pPr>
    </w:p>
    <w:p>
      <w:pPr>
        <w:overflowPunct w:val="0"/>
        <w:autoSpaceDE w:val="0"/>
        <w:autoSpaceDN w:val="0"/>
        <w:adjustRightInd w:val="0"/>
        <w:snapToGrid w:val="0"/>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本报告根据《中华人民共和国政府信息公开条例》《气象部门政府信息公开办法</w:t>
      </w:r>
      <w:r>
        <w:rPr>
          <w:rFonts w:hint="eastAsia" w:ascii="仿宋_GB2312" w:hAnsi="仿宋_GB2312" w:cs="仿宋_GB2312"/>
          <w:color w:val="auto"/>
          <w:sz w:val="32"/>
          <w:szCs w:val="32"/>
          <w:lang w:eastAsia="zh-CN"/>
        </w:rPr>
        <w:t>》的</w:t>
      </w:r>
      <w:r>
        <w:rPr>
          <w:rFonts w:hint="eastAsia" w:ascii="仿宋_GB2312" w:hAnsi="仿宋_GB2312" w:eastAsia="仿宋_GB2312" w:cs="仿宋_GB2312"/>
          <w:color w:val="auto"/>
          <w:sz w:val="32"/>
          <w:szCs w:val="32"/>
        </w:rPr>
        <w:t>要求编制。所列数据的统计期限自202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年1月1日起至202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年12月31日止。</w:t>
      </w:r>
    </w:p>
    <w:p>
      <w:pPr>
        <w:overflowPunct w:val="0"/>
        <w:autoSpaceDE w:val="0"/>
        <w:autoSpaceDN w:val="0"/>
        <w:adjustRightInd w:val="0"/>
        <w:snapToGrid w:val="0"/>
        <w:spacing w:line="600" w:lineRule="exact"/>
        <w:ind w:firstLine="640" w:firstLineChars="200"/>
        <w:rPr>
          <w:rFonts w:ascii="黑体" w:hAnsi="黑体" w:eastAsia="黑体" w:cs="黑体"/>
          <w:color w:val="000000"/>
          <w:szCs w:val="32"/>
        </w:rPr>
      </w:pPr>
      <w:r>
        <w:rPr>
          <w:rFonts w:hint="eastAsia" w:ascii="黑体" w:hAnsi="黑体" w:eastAsia="黑体" w:cs="黑体"/>
          <w:szCs w:val="32"/>
        </w:rPr>
        <w:t>一、总体情况</w:t>
      </w:r>
    </w:p>
    <w:p>
      <w:pPr>
        <w:overflowPunct w:val="0"/>
        <w:autoSpaceDE w:val="0"/>
        <w:autoSpaceDN w:val="0"/>
        <w:adjustRightInd w:val="0"/>
        <w:snapToGrid w:val="0"/>
        <w:spacing w:line="600" w:lineRule="exact"/>
        <w:ind w:firstLine="640" w:firstLineChars="200"/>
        <w:rPr>
          <w:rFonts w:ascii="仿宋_GB2312" w:hAnsi="仿宋_GB2312" w:cs="仿宋_GB2312"/>
          <w:kern w:val="0"/>
          <w:szCs w:val="32"/>
        </w:rPr>
      </w:pPr>
      <w:r>
        <w:rPr>
          <w:rFonts w:hint="eastAsia" w:ascii="仿宋_GB2312" w:hAnsi="仿宋_GB2312" w:cs="仿宋_GB2312"/>
          <w:kern w:val="0"/>
          <w:szCs w:val="32"/>
        </w:rPr>
        <w:t>202</w:t>
      </w:r>
      <w:r>
        <w:rPr>
          <w:rFonts w:ascii="仿宋_GB2312" w:hAnsi="仿宋_GB2312" w:cs="仿宋_GB2312"/>
          <w:kern w:val="0"/>
          <w:szCs w:val="32"/>
        </w:rPr>
        <w:t>3</w:t>
      </w:r>
      <w:r>
        <w:rPr>
          <w:rFonts w:hint="eastAsia" w:ascii="仿宋_GB2312" w:hAnsi="仿宋_GB2312" w:cs="仿宋_GB2312"/>
          <w:kern w:val="0"/>
          <w:szCs w:val="32"/>
        </w:rPr>
        <w:t>年度，吴忠市气象局按照宁夏气象局和吴忠市</w:t>
      </w:r>
      <w:r>
        <w:rPr>
          <w:rFonts w:hint="eastAsia" w:ascii="仿宋_GB2312" w:hAnsi="仿宋_GB2312" w:cs="仿宋_GB2312"/>
          <w:color w:val="333333"/>
          <w:kern w:val="0"/>
          <w:szCs w:val="32"/>
        </w:rPr>
        <w:t>委和政府</w:t>
      </w:r>
      <w:r>
        <w:rPr>
          <w:rFonts w:hint="eastAsia" w:ascii="仿宋_GB2312" w:hAnsi="仿宋_GB2312" w:cs="仿宋_GB2312"/>
          <w:kern w:val="0"/>
          <w:szCs w:val="32"/>
        </w:rPr>
        <w:t>统一要求</w:t>
      </w:r>
      <w:r>
        <w:rPr>
          <w:rFonts w:hint="eastAsia" w:ascii="仿宋_GB2312" w:hAnsi="仿宋_GB2312" w:cs="仿宋_GB2312"/>
          <w:color w:val="000000"/>
          <w:szCs w:val="32"/>
        </w:rPr>
        <w:t>，遵循“公正、公平、便民”的原则，依法、及时、准确、有序地开展政府信息公开工作，</w:t>
      </w:r>
      <w:r>
        <w:rPr>
          <w:rFonts w:hint="eastAsia" w:ascii="仿宋_GB2312" w:hAnsi="仿宋_GB2312" w:cs="仿宋_GB2312"/>
          <w:kern w:val="0"/>
          <w:szCs w:val="32"/>
        </w:rPr>
        <w:t>形成了“权责统一、分工明确、科室联动”的政府信息公开工作格局。</w:t>
      </w:r>
      <w:r>
        <w:rPr>
          <w:rFonts w:hint="eastAsia" w:ascii="仿宋_GB2312" w:hAnsi="仿宋_GB2312" w:cs="仿宋_GB2312"/>
          <w:color w:val="000000"/>
          <w:szCs w:val="32"/>
        </w:rPr>
        <w:t>充分利用吴忠市人民政府网站、政务服务中心网站等渠道，积极向公众公开信息。</w:t>
      </w:r>
      <w:r>
        <w:rPr>
          <w:rFonts w:hint="eastAsia" w:ascii="仿宋_GB2312" w:hAnsi="仿宋_GB2312" w:cs="仿宋_GB2312"/>
          <w:kern w:val="0"/>
          <w:szCs w:val="32"/>
        </w:rPr>
        <w:t>对行政权力运行、公共服务信息以及气象灾害预警信息等主动公开信息的深度和广度进行了明确，对拓展政务信息公开渠道、完善政务信息公开基础、加强依申请公开工作规范性提出具体要求，确保政务公开各项重点工作按要求落到了实处。</w:t>
      </w:r>
    </w:p>
    <w:p>
      <w:pPr>
        <w:overflowPunct w:val="0"/>
        <w:autoSpaceDE w:val="0"/>
        <w:autoSpaceDN w:val="0"/>
        <w:adjustRightInd w:val="0"/>
        <w:snapToGrid w:val="0"/>
        <w:spacing w:line="600" w:lineRule="exact"/>
        <w:ind w:firstLine="640" w:firstLineChars="200"/>
        <w:rPr>
          <w:rFonts w:ascii="仿宋_GB2312" w:hAnsi="仿宋_GB2312" w:cs="仿宋_GB2312"/>
          <w:color w:val="000000"/>
          <w:szCs w:val="32"/>
        </w:rPr>
      </w:pPr>
      <w:r>
        <w:rPr>
          <w:rFonts w:hint="eastAsia" w:ascii="仿宋_GB2312" w:hAnsi="仿宋_GB2312" w:cs="仿宋_GB2312"/>
          <w:color w:val="000000"/>
          <w:szCs w:val="32"/>
        </w:rPr>
        <w:t>吴忠市气象局</w:t>
      </w:r>
      <w:r>
        <w:rPr>
          <w:rFonts w:hint="eastAsia" w:ascii="仿宋_GB2312" w:hAnsi="仿宋_GB2312" w:cs="仿宋_GB2312"/>
          <w:szCs w:val="32"/>
        </w:rPr>
        <w:t>抓住涉及关键工作、关键环节，突出群众关心、社会关注、与群众利益关系最密切的重要事项，从内容和形式上重点加以深化，予以公开。同时，按照市政府要求，积极履行承担重点领域信息项目公开的责任，及时将预警信息、灾害性天气发布信息推送至市政府网站。在发挥网上公开平台作用的同时，一方面通过设立</w:t>
      </w:r>
      <w:r>
        <w:rPr>
          <w:rFonts w:hint="eastAsia" w:ascii="仿宋_GB2312" w:hAnsi="仿宋_GB2312" w:cs="仿宋_GB2312"/>
          <w:color w:val="000000"/>
          <w:szCs w:val="32"/>
        </w:rPr>
        <w:t>政务公开专栏、</w:t>
      </w:r>
      <w:r>
        <w:rPr>
          <w:rFonts w:hint="eastAsia" w:ascii="仿宋_GB2312" w:hAnsi="仿宋_GB2312" w:cs="仿宋_GB2312"/>
          <w:szCs w:val="32"/>
        </w:rPr>
        <w:t>接受记者采访等方式，积极拓展信息公开渠道；</w:t>
      </w:r>
      <w:r>
        <w:rPr>
          <w:rFonts w:hint="eastAsia" w:ascii="仿宋_GB2312" w:hAnsi="仿宋_GB2312" w:cs="仿宋_GB2312"/>
          <w:color w:val="000000"/>
          <w:szCs w:val="32"/>
        </w:rPr>
        <w:t>另一方面利用吴忠气象微博、微信发布气象预报预警、气象科普知</w:t>
      </w:r>
      <w:r>
        <w:rPr>
          <w:rFonts w:hint="eastAsia" w:ascii="仿宋_GB2312" w:hAnsi="仿宋_GB2312" w:cs="仿宋_GB2312"/>
          <w:szCs w:val="32"/>
        </w:rPr>
        <w:t>识、气象防灾避险知识；通过</w:t>
      </w:r>
      <w:r>
        <w:rPr>
          <w:rFonts w:ascii="仿宋_GB2312" w:hAnsi="仿宋_GB2312" w:cs="仿宋_GB2312"/>
          <w:szCs w:val="32"/>
        </w:rPr>
        <w:t>12379</w:t>
      </w:r>
      <w:r>
        <w:rPr>
          <w:rFonts w:hint="eastAsia" w:ascii="仿宋_GB2312" w:hAnsi="仿宋_GB2312" w:cs="仿宋_GB2312"/>
          <w:szCs w:val="32"/>
        </w:rPr>
        <w:t>、手机短信、微信、吴忠预警发布抖音、“吴忠发布</w:t>
      </w:r>
      <w:r>
        <w:rPr>
          <w:rFonts w:hint="eastAsia" w:ascii="仿宋_GB2312" w:hAnsi="仿宋_GB2312" w:cs="仿宋_GB2312"/>
          <w:szCs w:val="32"/>
          <w:lang w:eastAsia="zh-CN"/>
        </w:rPr>
        <w:t>”“</w:t>
      </w:r>
      <w:r>
        <w:rPr>
          <w:rFonts w:hint="eastAsia" w:ascii="仿宋_GB2312" w:hAnsi="仿宋"/>
          <w:bCs/>
          <w:szCs w:val="32"/>
        </w:rPr>
        <w:t>看吴忠”APP</w:t>
      </w:r>
      <w:r>
        <w:rPr>
          <w:rFonts w:hint="eastAsia" w:ascii="仿宋_GB2312" w:hAnsi="仿宋_GB2312" w:cs="仿宋_GB2312"/>
          <w:szCs w:val="32"/>
        </w:rPr>
        <w:t>、政务网等信息发布渠道，及时发布气象灾害预警信息；通过</w:t>
      </w:r>
      <w:r>
        <w:rPr>
          <w:rFonts w:hint="eastAsia" w:ascii="仿宋_GB2312" w:hAnsi="仿宋_GB2312" w:cs="仿宋_GB2312"/>
          <w:color w:val="000000"/>
          <w:szCs w:val="32"/>
        </w:rPr>
        <w:t>吴忠电视台、广播电台发布预警信息，提醒公众做好防御工作。</w:t>
      </w:r>
    </w:p>
    <w:p>
      <w:pPr>
        <w:overflowPunct w:val="0"/>
        <w:autoSpaceDE w:val="0"/>
        <w:autoSpaceDN w:val="0"/>
        <w:adjustRightInd w:val="0"/>
        <w:snapToGrid w:val="0"/>
        <w:spacing w:line="600" w:lineRule="exact"/>
        <w:ind w:firstLine="640" w:firstLineChars="200"/>
        <w:rPr>
          <w:rFonts w:hint="eastAsia" w:ascii="黑体" w:hAnsi="黑体" w:eastAsia="黑体" w:cs="黑体"/>
          <w:szCs w:val="32"/>
          <w:lang w:eastAsia="zh-CN"/>
        </w:rPr>
      </w:pPr>
      <w:r>
        <w:rPr>
          <w:rFonts w:hint="eastAsia" w:ascii="黑体" w:hAnsi="黑体" w:eastAsia="黑体" w:cs="黑体"/>
          <w:szCs w:val="32"/>
        </w:rPr>
        <w:t>二、主动公开政府信息情况</w:t>
      </w:r>
      <w:r>
        <w:rPr>
          <w:rFonts w:hint="eastAsia" w:ascii="黑体" w:hAnsi="黑体" w:eastAsia="黑体" w:cs="黑体"/>
          <w:szCs w:val="32"/>
          <w:lang w:eastAsia="zh-CN"/>
        </w:rPr>
        <w:t>（</w:t>
      </w:r>
      <w:r>
        <w:rPr>
          <w:rFonts w:hint="eastAsia" w:ascii="黑体" w:hAnsi="黑体" w:eastAsia="黑体" w:cs="黑体"/>
          <w:szCs w:val="32"/>
          <w:lang w:val="en-US" w:eastAsia="zh-CN"/>
        </w:rPr>
        <w:t>空代表无</w:t>
      </w:r>
      <w:r>
        <w:rPr>
          <w:rFonts w:hint="eastAsia" w:ascii="黑体" w:hAnsi="黑体" w:eastAsia="黑体" w:cs="黑体"/>
          <w:szCs w:val="32"/>
          <w:lang w:eastAsia="zh-CN"/>
        </w:rPr>
        <w:t>）</w:t>
      </w:r>
    </w:p>
    <w:tbl>
      <w:tblPr>
        <w:tblStyle w:val="6"/>
        <w:tblW w:w="9622" w:type="dxa"/>
        <w:jc w:val="center"/>
        <w:tblLayout w:type="autofit"/>
        <w:tblCellMar>
          <w:top w:w="0" w:type="dxa"/>
          <w:left w:w="0" w:type="dxa"/>
          <w:bottom w:w="0" w:type="dxa"/>
          <w:right w:w="0" w:type="dxa"/>
        </w:tblCellMar>
      </w:tblPr>
      <w:tblGrid>
        <w:gridCol w:w="2317"/>
        <w:gridCol w:w="2435"/>
        <w:gridCol w:w="2435"/>
        <w:gridCol w:w="2435"/>
      </w:tblGrid>
      <w:tr>
        <w:tblPrEx>
          <w:tblCellMar>
            <w:top w:w="0" w:type="dxa"/>
            <w:left w:w="0" w:type="dxa"/>
            <w:bottom w:w="0" w:type="dxa"/>
            <w:right w:w="0" w:type="dxa"/>
          </w:tblCellMar>
        </w:tblPrEx>
        <w:trPr>
          <w:trHeight w:val="340" w:hRule="atLeast"/>
          <w:jc w:val="center"/>
        </w:trPr>
        <w:tc>
          <w:tcPr>
            <w:tcW w:w="9622" w:type="dxa"/>
            <w:gridSpan w:val="4"/>
            <w:tcBorders>
              <w:top w:val="single" w:color="auto" w:sz="8" w:space="0"/>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rPr>
              <w:t>第二十条第（一）项</w:t>
            </w:r>
          </w:p>
        </w:tc>
      </w:tr>
      <w:tr>
        <w:tblPrEx>
          <w:tblCellMar>
            <w:top w:w="0" w:type="dxa"/>
            <w:left w:w="0" w:type="dxa"/>
            <w:bottom w:w="0" w:type="dxa"/>
            <w:right w:w="0" w:type="dxa"/>
          </w:tblCellMar>
        </w:tblPrEx>
        <w:trPr>
          <w:trHeight w:val="340" w:hRule="atLeast"/>
          <w:jc w:val="center"/>
        </w:trPr>
        <w:tc>
          <w:tcPr>
            <w:tcW w:w="2317"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rPr>
              <w:t>信息内容</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rPr>
              <w:t>本年</w:t>
            </w:r>
            <w:r>
              <w:rPr>
                <w:rFonts w:ascii="宋体" w:hAnsi="宋体" w:eastAsia="宋体" w:cs="宋体"/>
                <w:kern w:val="0"/>
                <w:sz w:val="20"/>
              </w:rPr>
              <w:t>制</w:t>
            </w:r>
            <w:r>
              <w:rPr>
                <w:rFonts w:hint="eastAsia" w:ascii="宋体" w:hAnsi="宋体" w:eastAsia="宋体" w:cs="宋体"/>
                <w:kern w:val="0"/>
                <w:sz w:val="20"/>
              </w:rPr>
              <w:t>发件</w:t>
            </w:r>
            <w:r>
              <w:rPr>
                <w:rFonts w:ascii="宋体" w:hAnsi="宋体" w:eastAsia="宋体" w:cs="宋体"/>
                <w:kern w:val="0"/>
                <w:sz w:val="20"/>
              </w:rPr>
              <w:t>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rPr>
              <w:t>本年废止件数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rPr>
              <w:t>现行有效件</w:t>
            </w:r>
            <w:r>
              <w:rPr>
                <w:rFonts w:ascii="宋体" w:hAnsi="宋体" w:eastAsia="宋体" w:cs="宋体"/>
                <w:kern w:val="0"/>
                <w:sz w:val="20"/>
              </w:rPr>
              <w:t>数</w:t>
            </w:r>
          </w:p>
        </w:tc>
      </w:tr>
      <w:tr>
        <w:tblPrEx>
          <w:tblCellMar>
            <w:top w:w="0" w:type="dxa"/>
            <w:left w:w="0" w:type="dxa"/>
            <w:bottom w:w="0" w:type="dxa"/>
            <w:right w:w="0" w:type="dxa"/>
          </w:tblCellMar>
        </w:tblPrEx>
        <w:trPr>
          <w:trHeight w:val="340" w:hRule="atLeast"/>
          <w:jc w:val="center"/>
        </w:trPr>
        <w:tc>
          <w:tcPr>
            <w:tcW w:w="2317"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rPr>
              <w:t>规章</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rPr>
              <w:t>　　</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rPr>
              <w:t> 　</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p>
        </w:tc>
      </w:tr>
      <w:tr>
        <w:tblPrEx>
          <w:tblCellMar>
            <w:top w:w="0" w:type="dxa"/>
            <w:left w:w="0" w:type="dxa"/>
            <w:bottom w:w="0" w:type="dxa"/>
            <w:right w:w="0" w:type="dxa"/>
          </w:tblCellMar>
        </w:tblPrEx>
        <w:trPr>
          <w:trHeight w:val="340" w:hRule="atLeast"/>
          <w:jc w:val="center"/>
        </w:trPr>
        <w:tc>
          <w:tcPr>
            <w:tcW w:w="2317"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rPr>
              <w:t>行政规范性文件</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rPr>
              <w:t>　　</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rPr>
              <w:t> 　</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p>
        </w:tc>
      </w:tr>
      <w:tr>
        <w:tblPrEx>
          <w:tblCellMar>
            <w:top w:w="0" w:type="dxa"/>
            <w:left w:w="0" w:type="dxa"/>
            <w:bottom w:w="0" w:type="dxa"/>
            <w:right w:w="0" w:type="dxa"/>
          </w:tblCellMar>
        </w:tblPrEx>
        <w:trPr>
          <w:trHeight w:val="340" w:hRule="atLeast"/>
          <w:jc w:val="center"/>
        </w:trPr>
        <w:tc>
          <w:tcPr>
            <w:tcW w:w="9622"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rPr>
              <w:t>第二十条第（五）项</w:t>
            </w:r>
          </w:p>
        </w:tc>
      </w:tr>
      <w:tr>
        <w:tblPrEx>
          <w:tblCellMar>
            <w:top w:w="0" w:type="dxa"/>
            <w:left w:w="0" w:type="dxa"/>
            <w:bottom w:w="0" w:type="dxa"/>
            <w:right w:w="0" w:type="dxa"/>
          </w:tblCellMar>
        </w:tblPrEx>
        <w:trPr>
          <w:trHeight w:val="340" w:hRule="atLeast"/>
          <w:jc w:val="center"/>
        </w:trPr>
        <w:tc>
          <w:tcPr>
            <w:tcW w:w="2317"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rPr>
              <w:t>信息内容</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rPr>
              <w:t>本年处理决定数量</w:t>
            </w:r>
          </w:p>
        </w:tc>
      </w:tr>
      <w:tr>
        <w:tblPrEx>
          <w:tblCellMar>
            <w:top w:w="0" w:type="dxa"/>
            <w:left w:w="0" w:type="dxa"/>
            <w:bottom w:w="0" w:type="dxa"/>
            <w:right w:w="0" w:type="dxa"/>
          </w:tblCellMar>
        </w:tblPrEx>
        <w:trPr>
          <w:trHeight w:val="340" w:hRule="atLeast"/>
          <w:jc w:val="center"/>
        </w:trPr>
        <w:tc>
          <w:tcPr>
            <w:tcW w:w="2317"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rPr>
              <w:t>行政许可</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r>
              <w:rPr>
                <w:rFonts w:ascii="宋体" w:hAnsi="宋体" w:eastAsia="宋体" w:cs="宋体"/>
                <w:kern w:val="0"/>
                <w:sz w:val="24"/>
                <w:szCs w:val="24"/>
              </w:rPr>
              <w:t>2</w:t>
            </w:r>
          </w:p>
        </w:tc>
      </w:tr>
      <w:tr>
        <w:tblPrEx>
          <w:tblCellMar>
            <w:top w:w="0" w:type="dxa"/>
            <w:left w:w="0" w:type="dxa"/>
            <w:bottom w:w="0" w:type="dxa"/>
            <w:right w:w="0" w:type="dxa"/>
          </w:tblCellMar>
        </w:tblPrEx>
        <w:trPr>
          <w:trHeight w:val="340" w:hRule="atLeast"/>
          <w:jc w:val="center"/>
        </w:trPr>
        <w:tc>
          <w:tcPr>
            <w:tcW w:w="9622"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rPr>
              <w:t>第二十条第（六）项</w:t>
            </w:r>
          </w:p>
        </w:tc>
      </w:tr>
      <w:tr>
        <w:tblPrEx>
          <w:tblCellMar>
            <w:top w:w="0" w:type="dxa"/>
            <w:left w:w="0" w:type="dxa"/>
            <w:bottom w:w="0" w:type="dxa"/>
            <w:right w:w="0" w:type="dxa"/>
          </w:tblCellMar>
        </w:tblPrEx>
        <w:trPr>
          <w:trHeight w:val="340" w:hRule="atLeast"/>
          <w:jc w:val="center"/>
        </w:trPr>
        <w:tc>
          <w:tcPr>
            <w:tcW w:w="2317"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rPr>
              <w:t>信息内容</w:t>
            </w:r>
          </w:p>
        </w:tc>
        <w:tc>
          <w:tcPr>
            <w:tcW w:w="7305" w:type="dxa"/>
            <w:gridSpan w:val="3"/>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rPr>
              <w:t>本年处理决定数量</w:t>
            </w:r>
          </w:p>
        </w:tc>
      </w:tr>
      <w:tr>
        <w:tblPrEx>
          <w:tblCellMar>
            <w:top w:w="0" w:type="dxa"/>
            <w:left w:w="0" w:type="dxa"/>
            <w:bottom w:w="0" w:type="dxa"/>
            <w:right w:w="0" w:type="dxa"/>
          </w:tblCellMar>
        </w:tblPrEx>
        <w:trPr>
          <w:trHeight w:val="340" w:hRule="atLeast"/>
          <w:jc w:val="center"/>
        </w:trPr>
        <w:tc>
          <w:tcPr>
            <w:tcW w:w="2317"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rPr>
              <w:t>行政处罚</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rPr>
              <w:t>　</w:t>
            </w:r>
          </w:p>
        </w:tc>
      </w:tr>
      <w:tr>
        <w:tblPrEx>
          <w:tblCellMar>
            <w:top w:w="0" w:type="dxa"/>
            <w:left w:w="0" w:type="dxa"/>
            <w:bottom w:w="0" w:type="dxa"/>
            <w:right w:w="0" w:type="dxa"/>
          </w:tblCellMar>
        </w:tblPrEx>
        <w:trPr>
          <w:trHeight w:val="340" w:hRule="atLeast"/>
          <w:jc w:val="center"/>
        </w:trPr>
        <w:tc>
          <w:tcPr>
            <w:tcW w:w="2317"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rPr>
              <w:t>行政强制</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rPr>
              <w:t>　</w:t>
            </w:r>
          </w:p>
        </w:tc>
      </w:tr>
      <w:tr>
        <w:tblPrEx>
          <w:tblCellMar>
            <w:top w:w="0" w:type="dxa"/>
            <w:left w:w="0" w:type="dxa"/>
            <w:bottom w:w="0" w:type="dxa"/>
            <w:right w:w="0" w:type="dxa"/>
          </w:tblCellMar>
        </w:tblPrEx>
        <w:trPr>
          <w:trHeight w:val="328" w:hRule="atLeast"/>
          <w:jc w:val="center"/>
        </w:trPr>
        <w:tc>
          <w:tcPr>
            <w:tcW w:w="9622"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rPr>
              <w:t>第二十条第（八）项</w:t>
            </w:r>
          </w:p>
        </w:tc>
      </w:tr>
      <w:tr>
        <w:tblPrEx>
          <w:tblCellMar>
            <w:top w:w="0" w:type="dxa"/>
            <w:left w:w="0" w:type="dxa"/>
            <w:bottom w:w="0" w:type="dxa"/>
            <w:right w:w="0" w:type="dxa"/>
          </w:tblCellMar>
        </w:tblPrEx>
        <w:trPr>
          <w:trHeight w:val="340" w:hRule="atLeast"/>
          <w:jc w:val="center"/>
        </w:trPr>
        <w:tc>
          <w:tcPr>
            <w:tcW w:w="2317"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rPr>
              <w:t>信息内容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rPr>
              <w:t>本年收费金额（单位：万元）</w:t>
            </w:r>
          </w:p>
        </w:tc>
      </w:tr>
      <w:tr>
        <w:tblPrEx>
          <w:tblCellMar>
            <w:top w:w="0" w:type="dxa"/>
            <w:left w:w="0" w:type="dxa"/>
            <w:bottom w:w="0" w:type="dxa"/>
            <w:right w:w="0" w:type="dxa"/>
          </w:tblCellMar>
        </w:tblPrEx>
        <w:trPr>
          <w:trHeight w:val="340" w:hRule="atLeast"/>
          <w:jc w:val="center"/>
        </w:trPr>
        <w:tc>
          <w:tcPr>
            <w:tcW w:w="2317"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rPr>
              <w:t>行政事业性收费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p>
        </w:tc>
      </w:tr>
    </w:tbl>
    <w:p>
      <w:pPr>
        <w:overflowPunct w:val="0"/>
        <w:autoSpaceDE w:val="0"/>
        <w:autoSpaceDN w:val="0"/>
        <w:adjustRightInd w:val="0"/>
        <w:snapToGrid w:val="0"/>
        <w:spacing w:line="600" w:lineRule="exact"/>
        <w:ind w:firstLine="640" w:firstLineChars="200"/>
        <w:rPr>
          <w:rFonts w:ascii="楷体_GB2312" w:hAnsi="楷体_GB2312" w:eastAsia="楷体_GB2312" w:cs="楷体_GB2312"/>
          <w:szCs w:val="32"/>
        </w:rPr>
      </w:pPr>
      <w:r>
        <w:rPr>
          <w:rFonts w:hint="eastAsia" w:ascii="楷体_GB2312" w:hAnsi="楷体_GB2312" w:eastAsia="楷体_GB2312" w:cs="楷体_GB2312"/>
          <w:szCs w:val="32"/>
        </w:rPr>
        <w:t>1.行政许可</w:t>
      </w:r>
    </w:p>
    <w:p>
      <w:pPr>
        <w:overflowPunct w:val="0"/>
        <w:autoSpaceDE w:val="0"/>
        <w:autoSpaceDN w:val="0"/>
        <w:adjustRightInd w:val="0"/>
        <w:snapToGrid w:val="0"/>
        <w:spacing w:line="600" w:lineRule="exact"/>
        <w:ind w:firstLine="640" w:firstLineChars="200"/>
        <w:rPr>
          <w:rFonts w:ascii="仿宋_GB2312" w:hAnsi="仿宋_GB2312" w:cs="仿宋_GB2312"/>
          <w:szCs w:val="32"/>
        </w:rPr>
      </w:pPr>
      <w:r>
        <w:rPr>
          <w:rFonts w:hint="eastAsia" w:ascii="仿宋_GB2312" w:hAnsi="仿宋_GB2312" w:cs="仿宋_GB2312"/>
          <w:szCs w:val="32"/>
        </w:rPr>
        <w:t>吴忠市局本级202</w:t>
      </w:r>
      <w:r>
        <w:rPr>
          <w:rFonts w:ascii="仿宋_GB2312" w:hAnsi="仿宋_GB2312" w:cs="仿宋_GB2312"/>
          <w:szCs w:val="32"/>
        </w:rPr>
        <w:t>3</w:t>
      </w:r>
      <w:r>
        <w:rPr>
          <w:rFonts w:hint="eastAsia" w:ascii="仿宋_GB2312" w:hAnsi="仿宋_GB2312" w:cs="仿宋_GB2312"/>
          <w:szCs w:val="32"/>
        </w:rPr>
        <w:t>年行政许可项目分别为：防雷装置设计审核、防雷装置竣工验收、升放无人驾驶自由气球或者系留气球活动审批、升放无人驾驶自由气球或者系留气球资质认定，共计</w:t>
      </w:r>
      <w:r>
        <w:rPr>
          <w:rFonts w:ascii="仿宋_GB2312" w:hAnsi="仿宋_GB2312" w:cs="仿宋_GB2312"/>
          <w:szCs w:val="32"/>
        </w:rPr>
        <w:t>4</w:t>
      </w:r>
      <w:r>
        <w:rPr>
          <w:rFonts w:hint="eastAsia" w:ascii="仿宋_GB2312" w:hAnsi="仿宋_GB2312" w:cs="仿宋_GB2312"/>
          <w:szCs w:val="32"/>
        </w:rPr>
        <w:t>项，202</w:t>
      </w:r>
      <w:r>
        <w:rPr>
          <w:rFonts w:ascii="仿宋_GB2312" w:hAnsi="仿宋_GB2312" w:cs="仿宋_GB2312"/>
          <w:szCs w:val="32"/>
        </w:rPr>
        <w:t>3</w:t>
      </w:r>
      <w:r>
        <w:rPr>
          <w:rFonts w:hint="eastAsia" w:ascii="仿宋_GB2312" w:hAnsi="仿宋_GB2312" w:cs="仿宋_GB2312"/>
          <w:szCs w:val="32"/>
        </w:rPr>
        <w:t>年处理决定数量共计</w:t>
      </w:r>
      <w:r>
        <w:rPr>
          <w:rFonts w:ascii="仿宋_GB2312" w:hAnsi="仿宋_GB2312" w:cs="仿宋_GB2312"/>
          <w:szCs w:val="32"/>
        </w:rPr>
        <w:t>12</w:t>
      </w:r>
      <w:r>
        <w:rPr>
          <w:rFonts w:hint="eastAsia" w:ascii="仿宋_GB2312" w:hAnsi="仿宋_GB2312" w:cs="仿宋_GB2312"/>
          <w:szCs w:val="32"/>
        </w:rPr>
        <w:t>件。</w:t>
      </w:r>
    </w:p>
    <w:p>
      <w:pPr>
        <w:overflowPunct w:val="0"/>
        <w:autoSpaceDE w:val="0"/>
        <w:autoSpaceDN w:val="0"/>
        <w:adjustRightInd w:val="0"/>
        <w:snapToGrid w:val="0"/>
        <w:spacing w:line="600" w:lineRule="exact"/>
        <w:ind w:firstLine="640" w:firstLineChars="200"/>
        <w:rPr>
          <w:rFonts w:ascii="楷体_GB2312" w:hAnsi="楷体_GB2312" w:eastAsia="楷体_GB2312" w:cs="楷体_GB2312"/>
          <w:szCs w:val="32"/>
        </w:rPr>
      </w:pPr>
      <w:r>
        <w:rPr>
          <w:rFonts w:hint="eastAsia" w:ascii="楷体_GB2312" w:hAnsi="楷体_GB2312" w:eastAsia="楷体_GB2312" w:cs="楷体_GB2312"/>
          <w:szCs w:val="32"/>
        </w:rPr>
        <w:t>2.主动公开信息</w:t>
      </w:r>
    </w:p>
    <w:p>
      <w:pPr>
        <w:overflowPunct w:val="0"/>
        <w:autoSpaceDE w:val="0"/>
        <w:autoSpaceDN w:val="0"/>
        <w:adjustRightInd w:val="0"/>
        <w:snapToGrid w:val="0"/>
        <w:spacing w:line="600" w:lineRule="exact"/>
        <w:ind w:firstLine="640" w:firstLineChars="200"/>
        <w:rPr>
          <w:rFonts w:ascii="仿宋_GB2312" w:hAnsi="仿宋_GB2312" w:cs="仿宋_GB2312"/>
          <w:szCs w:val="32"/>
        </w:rPr>
      </w:pPr>
      <w:r>
        <w:rPr>
          <w:rFonts w:hint="eastAsia" w:ascii="仿宋_GB2312" w:hAnsi="仿宋_GB2312" w:cs="仿宋_GB2312"/>
          <w:szCs w:val="32"/>
        </w:rPr>
        <w:t>吴忠市局本级主动公开信息168次，行政许可的事项、依据、条件、数量、程序、期限以及申请行政许可需要提交的全部材料目录及办理情况</w:t>
      </w:r>
      <w:r>
        <w:rPr>
          <w:rFonts w:ascii="仿宋_GB2312" w:hAnsi="仿宋_GB2312" w:cs="仿宋_GB2312"/>
          <w:szCs w:val="32"/>
        </w:rPr>
        <w:t>8</w:t>
      </w:r>
      <w:r>
        <w:rPr>
          <w:rFonts w:hint="eastAsia" w:ascii="仿宋_GB2312" w:hAnsi="仿宋_GB2312" w:cs="仿宋_GB2312"/>
          <w:szCs w:val="32"/>
        </w:rPr>
        <w:t>次（市民大厅窗口）；人工影响天气公告1次；预警信息</w:t>
      </w:r>
      <w:r>
        <w:rPr>
          <w:rFonts w:ascii="仿宋_GB2312" w:hAnsi="仿宋_GB2312" w:cs="仿宋_GB2312"/>
          <w:szCs w:val="32"/>
        </w:rPr>
        <w:t>159</w:t>
      </w:r>
      <w:r>
        <w:rPr>
          <w:rFonts w:hint="eastAsia" w:ascii="仿宋_GB2312" w:hAnsi="仿宋_GB2312" w:cs="仿宋_GB2312"/>
          <w:szCs w:val="32"/>
        </w:rPr>
        <w:t>次。</w:t>
      </w:r>
    </w:p>
    <w:p>
      <w:pPr>
        <w:overflowPunct w:val="0"/>
        <w:autoSpaceDE w:val="0"/>
        <w:autoSpaceDN w:val="0"/>
        <w:adjustRightInd w:val="0"/>
        <w:snapToGrid w:val="0"/>
        <w:spacing w:line="600" w:lineRule="exact"/>
        <w:ind w:firstLine="640" w:firstLineChars="200"/>
        <w:rPr>
          <w:rFonts w:ascii="黑体" w:hAnsi="黑体" w:eastAsia="黑体" w:cs="黑体"/>
          <w:szCs w:val="32"/>
        </w:rPr>
      </w:pPr>
      <w:r>
        <w:rPr>
          <w:rFonts w:hint="eastAsia" w:ascii="黑体" w:hAnsi="黑体" w:eastAsia="黑体" w:cs="黑体"/>
          <w:szCs w:val="32"/>
        </w:rPr>
        <w:t>三、收到和处理政府信息公开申请情况</w:t>
      </w:r>
    </w:p>
    <w:tbl>
      <w:tblPr>
        <w:tblStyle w:val="6"/>
        <w:tblW w:w="9748" w:type="dxa"/>
        <w:jc w:val="center"/>
        <w:tblLayout w:type="autofit"/>
        <w:tblCellMar>
          <w:top w:w="0" w:type="dxa"/>
          <w:left w:w="0" w:type="dxa"/>
          <w:bottom w:w="0" w:type="dxa"/>
          <w:right w:w="0" w:type="dxa"/>
        </w:tblCellMar>
      </w:tblPr>
      <w:tblGrid>
        <w:gridCol w:w="766"/>
        <w:gridCol w:w="943"/>
        <w:gridCol w:w="3217"/>
        <w:gridCol w:w="688"/>
        <w:gridCol w:w="691"/>
        <w:gridCol w:w="688"/>
        <w:gridCol w:w="688"/>
        <w:gridCol w:w="688"/>
        <w:gridCol w:w="688"/>
        <w:gridCol w:w="691"/>
      </w:tblGrid>
      <w:tr>
        <w:tblPrEx>
          <w:tblCellMar>
            <w:top w:w="0" w:type="dxa"/>
            <w:left w:w="0" w:type="dxa"/>
            <w:bottom w:w="0" w:type="dxa"/>
            <w:right w:w="0" w:type="dxa"/>
          </w:tblCellMar>
        </w:tblPrEx>
        <w:trPr>
          <w:jc w:val="center"/>
        </w:trPr>
        <w:tc>
          <w:tcPr>
            <w:tcW w:w="5150" w:type="dxa"/>
            <w:gridSpan w:val="3"/>
            <w:vMerge w:val="restart"/>
            <w:tcBorders>
              <w:top w:val="single" w:color="auto" w:sz="8" w:space="0"/>
              <w:left w:val="single" w:color="auto" w:sz="8" w:space="0"/>
              <w:bottom w:val="inset"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rPr>
              <w:t>（本列数据的勾稽关系为：第一项加第二项之和，等于第三项加第四项之和）</w:t>
            </w:r>
          </w:p>
        </w:tc>
        <w:tc>
          <w:tcPr>
            <w:tcW w:w="4998" w:type="dxa"/>
            <w:gridSpan w:val="7"/>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rPr>
              <w:t>申请人情况</w:t>
            </w:r>
          </w:p>
        </w:tc>
      </w:tr>
      <w:tr>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714" w:type="dxa"/>
            <w:vMerge w:val="restart"/>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rPr>
              <w:t>自然人</w:t>
            </w:r>
          </w:p>
        </w:tc>
        <w:tc>
          <w:tcPr>
            <w:tcW w:w="3570" w:type="dxa"/>
            <w:gridSpan w:val="5"/>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rPr>
              <w:t>法人或其他组织</w:t>
            </w:r>
          </w:p>
        </w:tc>
        <w:tc>
          <w:tcPr>
            <w:tcW w:w="714" w:type="dxa"/>
            <w:vMerge w:val="restart"/>
            <w:tcBorders>
              <w:top w:val="single" w:color="auto" w:sz="8" w:space="0"/>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rPr>
              <w:t>总计</w:t>
            </w:r>
          </w:p>
        </w:tc>
      </w:tr>
      <w:tr>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eastAsia="宋体" w:cs="宋体"/>
                <w:kern w:val="0"/>
                <w:sz w:val="24"/>
                <w:szCs w:val="24"/>
              </w:rPr>
            </w:pPr>
            <w:r>
              <w:rPr>
                <w:rFonts w:hint="eastAsia" w:ascii="宋体" w:hAnsi="宋体" w:eastAsia="宋体" w:cs="宋体"/>
                <w:kern w:val="0"/>
                <w:sz w:val="20"/>
              </w:rPr>
              <w:t>商业</w:t>
            </w:r>
          </w:p>
          <w:p>
            <w:pPr>
              <w:widowControl/>
              <w:spacing w:line="0" w:lineRule="atLeast"/>
              <w:jc w:val="center"/>
              <w:rPr>
                <w:rFonts w:ascii="宋体" w:hAnsi="宋体" w:eastAsia="宋体" w:cs="宋体"/>
                <w:kern w:val="0"/>
                <w:sz w:val="24"/>
                <w:szCs w:val="24"/>
              </w:rPr>
            </w:pPr>
            <w:r>
              <w:rPr>
                <w:rFonts w:hint="eastAsia" w:ascii="宋体" w:hAnsi="宋体" w:eastAsia="宋体" w:cs="宋体"/>
                <w:kern w:val="0"/>
                <w:sz w:val="20"/>
              </w:rPr>
              <w:t>企业</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eastAsia="宋体" w:cs="宋体"/>
                <w:kern w:val="0"/>
                <w:sz w:val="24"/>
                <w:szCs w:val="24"/>
              </w:rPr>
            </w:pPr>
            <w:r>
              <w:rPr>
                <w:rFonts w:hint="eastAsia" w:ascii="宋体" w:hAnsi="宋体" w:eastAsia="宋体" w:cs="宋体"/>
                <w:kern w:val="0"/>
                <w:sz w:val="20"/>
              </w:rPr>
              <w:t>科研</w:t>
            </w:r>
          </w:p>
          <w:p>
            <w:pPr>
              <w:widowControl/>
              <w:spacing w:line="0" w:lineRule="atLeast"/>
              <w:jc w:val="center"/>
              <w:rPr>
                <w:rFonts w:ascii="宋体" w:hAnsi="宋体" w:eastAsia="宋体" w:cs="宋体"/>
                <w:kern w:val="0"/>
                <w:sz w:val="24"/>
                <w:szCs w:val="24"/>
              </w:rPr>
            </w:pPr>
            <w:r>
              <w:rPr>
                <w:rFonts w:hint="eastAsia" w:ascii="宋体" w:hAnsi="宋体" w:eastAsia="宋体" w:cs="宋体"/>
                <w:kern w:val="0"/>
                <w:sz w:val="20"/>
              </w:rPr>
              <w:t>机构</w:t>
            </w:r>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eastAsia="宋体" w:cs="宋体"/>
                <w:kern w:val="0"/>
                <w:sz w:val="24"/>
                <w:szCs w:val="24"/>
              </w:rPr>
            </w:pPr>
            <w:r>
              <w:rPr>
                <w:rFonts w:hint="eastAsia" w:ascii="宋体" w:hAnsi="宋体" w:eastAsia="宋体" w:cs="宋体"/>
                <w:kern w:val="0"/>
                <w:sz w:val="20"/>
              </w:rPr>
              <w:t>社会公益组织</w:t>
            </w:r>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eastAsia="宋体" w:cs="宋体"/>
                <w:kern w:val="0"/>
                <w:sz w:val="24"/>
                <w:szCs w:val="24"/>
              </w:rPr>
            </w:pPr>
            <w:r>
              <w:rPr>
                <w:rFonts w:hint="eastAsia" w:ascii="宋体" w:hAnsi="宋体" w:eastAsia="宋体" w:cs="宋体"/>
                <w:kern w:val="0"/>
                <w:sz w:val="20"/>
              </w:rPr>
              <w:t>法律服务机构</w:t>
            </w:r>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rPr>
              <w:t>其他</w:t>
            </w:r>
          </w:p>
        </w:tc>
        <w:tc>
          <w:tcPr>
            <w:tcW w:w="0" w:type="auto"/>
            <w:vMerge w:val="continue"/>
            <w:tcBorders>
              <w:top w:val="single" w:color="auto" w:sz="8" w:space="0"/>
              <w:left w:val="nil"/>
              <w:bottom w:val="inset" w:color="auto" w:sz="8" w:space="0"/>
              <w:right w:val="single" w:color="auto" w:sz="8" w:space="0"/>
            </w:tcBorders>
            <w:vAlign w:val="center"/>
          </w:tcPr>
          <w:p>
            <w:pPr>
              <w:widowControl/>
              <w:jc w:val="left"/>
              <w:rPr>
                <w:rFonts w:ascii="宋体" w:hAnsi="宋体" w:eastAsia="宋体" w:cs="宋体"/>
                <w:kern w:val="0"/>
                <w:sz w:val="24"/>
                <w:szCs w:val="24"/>
              </w:rPr>
            </w:pPr>
          </w:p>
        </w:tc>
      </w:tr>
      <w:tr>
        <w:tblPrEx>
          <w:tblCellMar>
            <w:top w:w="0" w:type="dxa"/>
            <w:left w:w="0" w:type="dxa"/>
            <w:bottom w:w="0" w:type="dxa"/>
            <w:right w:w="0" w:type="dxa"/>
          </w:tblCellMar>
        </w:tblPrEx>
        <w:trPr>
          <w:jc w:val="center"/>
        </w:trPr>
        <w:tc>
          <w:tcPr>
            <w:tcW w:w="5150"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rPr>
              <w:t>一、本年新收政府信息公开申请数量</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r>
              <w:rPr>
                <w:rFonts w:ascii="宋体" w:hAnsi="宋体" w:eastAsia="宋体" w:cs="宋体"/>
                <w:kern w:val="0"/>
                <w:sz w:val="24"/>
                <w:szCs w:val="24"/>
              </w:rPr>
              <w:t>2</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r>
              <w:rPr>
                <w:rFonts w:ascii="宋体" w:hAnsi="宋体" w:eastAsia="宋体" w:cs="宋体"/>
                <w:kern w:val="0"/>
                <w:sz w:val="24"/>
                <w:szCs w:val="24"/>
              </w:rPr>
              <w:t>2</w:t>
            </w:r>
          </w:p>
        </w:tc>
      </w:tr>
      <w:tr>
        <w:tblPrEx>
          <w:tblCellMar>
            <w:top w:w="0" w:type="dxa"/>
            <w:left w:w="0" w:type="dxa"/>
            <w:bottom w:w="0" w:type="dxa"/>
            <w:right w:w="0" w:type="dxa"/>
          </w:tblCellMar>
        </w:tblPrEx>
        <w:trPr>
          <w:jc w:val="center"/>
        </w:trPr>
        <w:tc>
          <w:tcPr>
            <w:tcW w:w="5150"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rPr>
              <w:t>二、上年结转政府信息公开申请数量</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r>
      <w:tr>
        <w:tblPrEx>
          <w:tblCellMar>
            <w:top w:w="0" w:type="dxa"/>
            <w:left w:w="0" w:type="dxa"/>
            <w:bottom w:w="0" w:type="dxa"/>
            <w:right w:w="0" w:type="dxa"/>
          </w:tblCellMar>
        </w:tblPrEx>
        <w:trPr>
          <w:jc w:val="center"/>
        </w:trPr>
        <w:tc>
          <w:tcPr>
            <w:tcW w:w="785" w:type="dxa"/>
            <w:vMerge w:val="restart"/>
            <w:tcBorders>
              <w:top w:val="nil"/>
              <w:left w:val="single" w:color="auto" w:sz="8" w:space="0"/>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rPr>
              <w:t>三、本年度办理结果</w:t>
            </w:r>
          </w:p>
        </w:tc>
        <w:tc>
          <w:tcPr>
            <w:tcW w:w="4365"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rPr>
              <w:t>（一）予以公开</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r>
              <w:rPr>
                <w:rFonts w:ascii="宋体" w:hAnsi="宋体" w:eastAsia="宋体" w:cs="宋体"/>
                <w:kern w:val="0"/>
                <w:sz w:val="24"/>
                <w:szCs w:val="24"/>
              </w:rPr>
              <w:t>2</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r>
              <w:rPr>
                <w:rFonts w:ascii="宋体" w:hAnsi="宋体" w:eastAsia="宋体" w:cs="宋体"/>
                <w:kern w:val="0"/>
                <w:sz w:val="24"/>
                <w:szCs w:val="24"/>
              </w:rPr>
              <w:t>2</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4365"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rPr>
              <w:t>（二）部分公开</w:t>
            </w:r>
            <w:r>
              <w:rPr>
                <w:rFonts w:hint="eastAsia" w:ascii="楷体" w:hAnsi="楷体" w:eastAsia="楷体" w:cs="宋体"/>
                <w:kern w:val="0"/>
                <w:sz w:val="20"/>
              </w:rPr>
              <w:t>（区分处理的，只计这一情形，不计其他情形）</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959"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rPr>
              <w:t>（三）不予公开</w:t>
            </w: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kern w:val="0"/>
                <w:sz w:val="24"/>
                <w:szCs w:val="24"/>
              </w:rPr>
            </w:pPr>
            <w:r>
              <w:rPr>
                <w:rFonts w:hint="eastAsia" w:ascii="宋体" w:hAnsi="宋体" w:eastAsia="宋体" w:cs="宋体"/>
                <w:kern w:val="0"/>
                <w:sz w:val="20"/>
              </w:rPr>
              <w:t>1.属于国家秘密</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kern w:val="0"/>
                <w:sz w:val="24"/>
                <w:szCs w:val="24"/>
              </w:rPr>
            </w:pPr>
            <w:r>
              <w:rPr>
                <w:rFonts w:hint="eastAsia" w:ascii="宋体" w:hAnsi="宋体" w:eastAsia="宋体" w:cs="宋体"/>
                <w:kern w:val="0"/>
                <w:sz w:val="20"/>
              </w:rPr>
              <w:t>2.其他法律行政法规禁止公开</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kern w:val="0"/>
                <w:sz w:val="24"/>
                <w:szCs w:val="24"/>
              </w:rPr>
            </w:pPr>
            <w:r>
              <w:rPr>
                <w:rFonts w:hint="eastAsia" w:ascii="宋体" w:hAnsi="宋体" w:eastAsia="宋体" w:cs="宋体"/>
                <w:kern w:val="0"/>
                <w:sz w:val="20"/>
              </w:rPr>
              <w:t>3.危及“三安全一稳定”</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kern w:val="0"/>
                <w:sz w:val="24"/>
                <w:szCs w:val="24"/>
              </w:rPr>
            </w:pPr>
            <w:r>
              <w:rPr>
                <w:rFonts w:hint="eastAsia" w:ascii="宋体" w:hAnsi="宋体" w:eastAsia="宋体" w:cs="宋体"/>
                <w:kern w:val="0"/>
                <w:sz w:val="20"/>
              </w:rPr>
              <w:t>4.保护第三方合法权益</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kern w:val="0"/>
                <w:sz w:val="24"/>
                <w:szCs w:val="24"/>
              </w:rPr>
            </w:pPr>
            <w:r>
              <w:rPr>
                <w:rFonts w:hint="eastAsia" w:ascii="宋体" w:hAnsi="宋体" w:eastAsia="宋体" w:cs="宋体"/>
                <w:kern w:val="0"/>
                <w:sz w:val="20"/>
              </w:rPr>
              <w:t>5.属于三类内部事务信息</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kern w:val="0"/>
                <w:sz w:val="24"/>
                <w:szCs w:val="24"/>
              </w:rPr>
            </w:pPr>
            <w:r>
              <w:rPr>
                <w:rFonts w:hint="eastAsia" w:ascii="宋体" w:hAnsi="宋体" w:eastAsia="宋体" w:cs="宋体"/>
                <w:kern w:val="0"/>
                <w:sz w:val="20"/>
              </w:rPr>
              <w:t>6.属于四类过程性信息</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kern w:val="0"/>
                <w:sz w:val="24"/>
                <w:szCs w:val="24"/>
              </w:rPr>
            </w:pPr>
            <w:r>
              <w:rPr>
                <w:rFonts w:hint="eastAsia" w:ascii="宋体" w:hAnsi="宋体" w:eastAsia="宋体" w:cs="宋体"/>
                <w:kern w:val="0"/>
                <w:sz w:val="20"/>
              </w:rPr>
              <w:t>7.属于行政执法案卷</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kern w:val="0"/>
                <w:sz w:val="24"/>
                <w:szCs w:val="24"/>
              </w:rPr>
            </w:pPr>
            <w:r>
              <w:rPr>
                <w:rFonts w:hint="eastAsia" w:ascii="宋体" w:hAnsi="宋体" w:eastAsia="宋体" w:cs="宋体"/>
                <w:kern w:val="0"/>
                <w:sz w:val="20"/>
              </w:rPr>
              <w:t>8.属于行政查询事项</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959"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rPr>
              <w:t>（四）无法提供</w:t>
            </w: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kern w:val="0"/>
                <w:sz w:val="24"/>
                <w:szCs w:val="24"/>
              </w:rPr>
            </w:pPr>
            <w:r>
              <w:rPr>
                <w:rFonts w:hint="eastAsia" w:ascii="宋体" w:hAnsi="宋体" w:eastAsia="宋体" w:cs="宋体"/>
                <w:kern w:val="0"/>
                <w:sz w:val="20"/>
              </w:rPr>
              <w:t>1.本机关不掌握相关政府信息</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kern w:val="0"/>
                <w:sz w:val="24"/>
                <w:szCs w:val="24"/>
              </w:rPr>
            </w:pPr>
            <w:r>
              <w:rPr>
                <w:rFonts w:hint="eastAsia" w:ascii="宋体" w:hAnsi="宋体" w:eastAsia="宋体" w:cs="宋体"/>
                <w:kern w:val="0"/>
                <w:sz w:val="20"/>
              </w:rPr>
              <w:t>2.没有现成信息需要另行制作</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kern w:val="0"/>
                <w:sz w:val="24"/>
                <w:szCs w:val="24"/>
              </w:rPr>
            </w:pPr>
            <w:r>
              <w:rPr>
                <w:rFonts w:hint="eastAsia" w:ascii="宋体" w:hAnsi="宋体" w:eastAsia="宋体" w:cs="宋体"/>
                <w:kern w:val="0"/>
                <w:sz w:val="20"/>
              </w:rPr>
              <w:t>3.补正后申请内容仍不明确</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959"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rPr>
              <w:t>（五）不予处理</w:t>
            </w: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kern w:val="0"/>
                <w:sz w:val="24"/>
                <w:szCs w:val="24"/>
              </w:rPr>
            </w:pPr>
            <w:r>
              <w:rPr>
                <w:rFonts w:hint="eastAsia" w:ascii="宋体" w:hAnsi="宋体" w:eastAsia="宋体" w:cs="宋体"/>
                <w:kern w:val="0"/>
                <w:sz w:val="20"/>
              </w:rPr>
              <w:t>1.信访举报投诉类申请</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kern w:val="0"/>
                <w:sz w:val="24"/>
                <w:szCs w:val="24"/>
              </w:rPr>
            </w:pPr>
            <w:r>
              <w:rPr>
                <w:rFonts w:hint="eastAsia" w:ascii="宋体" w:hAnsi="宋体" w:eastAsia="宋体" w:cs="宋体"/>
                <w:kern w:val="0"/>
                <w:sz w:val="20"/>
              </w:rPr>
              <w:t>2.重复申请</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kern w:val="0"/>
                <w:sz w:val="24"/>
                <w:szCs w:val="24"/>
              </w:rPr>
            </w:pPr>
            <w:r>
              <w:rPr>
                <w:rFonts w:hint="eastAsia" w:ascii="宋体" w:hAnsi="宋体" w:eastAsia="宋体" w:cs="宋体"/>
                <w:kern w:val="0"/>
                <w:sz w:val="20"/>
              </w:rPr>
              <w:t>3.要求提供公开出版物</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kern w:val="0"/>
                <w:sz w:val="24"/>
                <w:szCs w:val="24"/>
              </w:rPr>
            </w:pPr>
            <w:r>
              <w:rPr>
                <w:rFonts w:hint="eastAsia" w:ascii="宋体" w:hAnsi="宋体" w:eastAsia="宋体" w:cs="宋体"/>
                <w:kern w:val="0"/>
                <w:sz w:val="20"/>
              </w:rPr>
              <w:t>4.无正当理由大量反复申请</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r>
      <w:tr>
        <w:tblPrEx>
          <w:tblCellMar>
            <w:top w:w="0" w:type="dxa"/>
            <w:left w:w="0" w:type="dxa"/>
            <w:bottom w:w="0" w:type="dxa"/>
            <w:right w:w="0" w:type="dxa"/>
          </w:tblCellMar>
        </w:tblPrEx>
        <w:trPr>
          <w:trHeight w:val="779" w:hRule="atLeast"/>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3406"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rPr>
                <w:rFonts w:ascii="宋体" w:hAnsi="宋体" w:eastAsia="宋体" w:cs="宋体"/>
                <w:kern w:val="0"/>
                <w:sz w:val="24"/>
                <w:szCs w:val="24"/>
              </w:rPr>
            </w:pPr>
            <w:r>
              <w:rPr>
                <w:rFonts w:hint="eastAsia" w:ascii="宋体" w:hAnsi="宋体" w:eastAsia="宋体" w:cs="宋体"/>
                <w:kern w:val="0"/>
                <w:sz w:val="20"/>
              </w:rPr>
              <w:t>5.要求行政机关确认或重新出具已获取信息</w:t>
            </w: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959" w:type="dxa"/>
            <w:vMerge w:val="restart"/>
            <w:tcBorders>
              <w:top w:val="inset" w:color="auto" w:sz="8" w:space="0"/>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rPr>
              <w:t>（六）其他处理</w:t>
            </w:r>
          </w:p>
        </w:tc>
        <w:tc>
          <w:tcPr>
            <w:tcW w:w="3406"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rPr>
                <w:rFonts w:ascii="宋体" w:hAnsi="宋体" w:eastAsia="宋体" w:cs="宋体"/>
                <w:kern w:val="0"/>
                <w:sz w:val="24"/>
                <w:szCs w:val="24"/>
              </w:rPr>
            </w:pPr>
            <w:r>
              <w:rPr>
                <w:rFonts w:hint="eastAsia" w:ascii="宋体" w:hAnsi="宋体" w:eastAsia="宋体" w:cs="宋体"/>
                <w:kern w:val="0"/>
                <w:sz w:val="20"/>
              </w:rPr>
              <w:t>1.申请人无正当理由逾期不补正、行政机关不再处理其政府信息公开申请</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inset" w:color="auto" w:sz="8" w:space="0"/>
              <w:left w:val="nil"/>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rPr>
                <w:rFonts w:ascii="宋体" w:hAnsi="宋体" w:eastAsia="宋体" w:cs="宋体"/>
                <w:kern w:val="0"/>
                <w:sz w:val="24"/>
                <w:szCs w:val="24"/>
              </w:rPr>
            </w:pPr>
            <w:r>
              <w:rPr>
                <w:rFonts w:hint="eastAsia" w:ascii="宋体" w:hAnsi="宋体" w:eastAsia="宋体" w:cs="宋体"/>
                <w:kern w:val="0"/>
                <w:sz w:val="20"/>
              </w:rPr>
              <w:t>2.申请人逾期未按收费通知要求缴纳费用、行政机关不再处理其政府信息公开申请</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inset" w:color="auto" w:sz="8" w:space="0"/>
              <w:left w:val="nil"/>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rPr>
              <w:t>3.其他</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kern w:val="0"/>
                <w:sz w:val="24"/>
                <w:szCs w:val="24"/>
              </w:rPr>
            </w:pPr>
          </w:p>
        </w:tc>
        <w:tc>
          <w:tcPr>
            <w:tcW w:w="4365"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rPr>
              <w:t>（七）总计</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r>
              <w:rPr>
                <w:rFonts w:ascii="宋体" w:hAnsi="宋体" w:eastAsia="宋体" w:cs="宋体"/>
                <w:kern w:val="0"/>
                <w:sz w:val="24"/>
                <w:szCs w:val="24"/>
              </w:rPr>
              <w:t>12</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kern w:val="0"/>
                <w:sz w:val="24"/>
                <w:szCs w:val="24"/>
              </w:rPr>
            </w:pPr>
            <w:r>
              <w:rPr>
                <w:rFonts w:ascii="宋体" w:hAnsi="宋体" w:eastAsia="宋体" w:cs="宋体"/>
                <w:kern w:val="0"/>
                <w:sz w:val="24"/>
                <w:szCs w:val="24"/>
              </w:rPr>
              <w:t>12</w:t>
            </w:r>
          </w:p>
        </w:tc>
      </w:tr>
      <w:tr>
        <w:tblPrEx>
          <w:tblCellMar>
            <w:top w:w="0" w:type="dxa"/>
            <w:left w:w="0" w:type="dxa"/>
            <w:bottom w:w="0" w:type="dxa"/>
            <w:right w:w="0" w:type="dxa"/>
          </w:tblCellMar>
        </w:tblPrEx>
        <w:trPr>
          <w:jc w:val="center"/>
        </w:trPr>
        <w:tc>
          <w:tcPr>
            <w:tcW w:w="5150"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rPr>
              <w:t>四、结转下年度继续办理</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kern w:val="0"/>
                <w:sz w:val="24"/>
                <w:szCs w:val="24"/>
              </w:rPr>
            </w:pPr>
          </w:p>
        </w:tc>
      </w:tr>
    </w:tbl>
    <w:p>
      <w:pPr>
        <w:overflowPunct w:val="0"/>
        <w:autoSpaceDE w:val="0"/>
        <w:autoSpaceDN w:val="0"/>
        <w:adjustRightInd w:val="0"/>
        <w:snapToGrid w:val="0"/>
        <w:spacing w:line="600" w:lineRule="exact"/>
        <w:ind w:firstLine="640" w:firstLineChars="200"/>
        <w:rPr>
          <w:rFonts w:ascii="仿宋_GB2312" w:hAnsi="仿宋_GB2312" w:cs="仿宋_GB2312"/>
          <w:szCs w:val="32"/>
        </w:rPr>
      </w:pPr>
      <w:r>
        <w:rPr>
          <w:rFonts w:hint="eastAsia" w:ascii="仿宋_GB2312" w:hAnsi="仿宋_GB2312" w:cs="仿宋_GB2312"/>
          <w:szCs w:val="32"/>
        </w:rPr>
        <w:t>吴忠市局机关202</w:t>
      </w:r>
      <w:r>
        <w:rPr>
          <w:rFonts w:ascii="仿宋_GB2312" w:hAnsi="仿宋_GB2312" w:cs="仿宋_GB2312"/>
          <w:szCs w:val="32"/>
        </w:rPr>
        <w:t>3</w:t>
      </w:r>
      <w:r>
        <w:rPr>
          <w:rFonts w:hint="eastAsia" w:ascii="仿宋_GB2312" w:hAnsi="仿宋_GB2312" w:cs="仿宋_GB2312"/>
          <w:szCs w:val="32"/>
        </w:rPr>
        <w:t>年度新收政府信息公开申请数量</w:t>
      </w:r>
      <w:r>
        <w:rPr>
          <w:rFonts w:ascii="仿宋_GB2312" w:hAnsi="仿宋_GB2312" w:cs="仿宋_GB2312"/>
          <w:szCs w:val="32"/>
        </w:rPr>
        <w:t>12</w:t>
      </w:r>
      <w:r>
        <w:rPr>
          <w:rFonts w:hint="eastAsia" w:ascii="仿宋_GB2312" w:hAnsi="仿宋_GB2312" w:cs="仿宋_GB2312"/>
          <w:szCs w:val="32"/>
        </w:rPr>
        <w:t>件，全部为行政许可事项，当年全部办理结束。</w:t>
      </w:r>
    </w:p>
    <w:p>
      <w:pPr>
        <w:overflowPunct w:val="0"/>
        <w:autoSpaceDE w:val="0"/>
        <w:autoSpaceDN w:val="0"/>
        <w:adjustRightInd w:val="0"/>
        <w:snapToGrid w:val="0"/>
        <w:spacing w:line="600" w:lineRule="exact"/>
        <w:ind w:firstLine="640" w:firstLineChars="200"/>
        <w:rPr>
          <w:rFonts w:ascii="黑体" w:hAnsi="黑体" w:eastAsia="黑体" w:cs="黑体"/>
          <w:szCs w:val="32"/>
        </w:rPr>
      </w:pPr>
      <w:r>
        <w:rPr>
          <w:rFonts w:hint="eastAsia" w:ascii="黑体" w:hAnsi="黑体" w:eastAsia="黑体" w:cs="黑体"/>
          <w:szCs w:val="32"/>
        </w:rPr>
        <w:t>四、政府信息公开行政复议、行政诉讼情况</w:t>
      </w:r>
    </w:p>
    <w:tbl>
      <w:tblPr>
        <w:tblStyle w:val="6"/>
        <w:tblpPr w:leftFromText="180" w:rightFromText="180" w:vertAnchor="text" w:horzAnchor="page" w:tblpX="1175" w:tblpY="300"/>
        <w:tblOverlap w:val="never"/>
        <w:tblW w:w="9748" w:type="dxa"/>
        <w:tblInd w:w="0" w:type="dxa"/>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c>
          <w:tcPr>
            <w:tcW w:w="3245" w:type="dxa"/>
            <w:gridSpan w:val="5"/>
            <w:tcBorders>
              <w:top w:val="single" w:color="auto" w:sz="8" w:space="0"/>
              <w:left w:val="single" w:color="auto" w:sz="8" w:space="0"/>
              <w:bottom w:val="single" w:color="auto" w:sz="4"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rPr>
              <w:t>行政复议</w:t>
            </w:r>
          </w:p>
        </w:tc>
        <w:tc>
          <w:tcPr>
            <w:tcW w:w="6503" w:type="dxa"/>
            <w:gridSpan w:val="10"/>
            <w:tcBorders>
              <w:top w:val="single" w:color="auto" w:sz="8" w:space="0"/>
              <w:left w:val="single" w:color="auto" w:sz="8" w:space="0"/>
              <w:bottom w:val="single" w:color="auto" w:sz="4"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rPr>
              <w:t>行政诉讼</w:t>
            </w:r>
          </w:p>
        </w:tc>
      </w:tr>
      <w:tr>
        <w:tblPrEx>
          <w:tblCellMar>
            <w:top w:w="0" w:type="dxa"/>
            <w:left w:w="0" w:type="dxa"/>
            <w:bottom w:w="0" w:type="dxa"/>
            <w:right w:w="0" w:type="dxa"/>
          </w:tblCellMar>
        </w:tblPrEx>
        <w:tc>
          <w:tcPr>
            <w:tcW w:w="649"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rPr>
              <w:t>结果维持</w:t>
            </w:r>
          </w:p>
        </w:tc>
        <w:tc>
          <w:tcPr>
            <w:tcW w:w="649"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kern w:val="0"/>
                <w:sz w:val="20"/>
              </w:rPr>
            </w:pPr>
            <w:r>
              <w:rPr>
                <w:rFonts w:hint="eastAsia" w:ascii="宋体" w:hAnsi="宋体" w:eastAsia="宋体" w:cs="宋体"/>
                <w:kern w:val="0"/>
                <w:sz w:val="20"/>
              </w:rPr>
              <w:t>结果</w:t>
            </w:r>
          </w:p>
          <w:p>
            <w:pPr>
              <w:widowControl/>
              <w:jc w:val="center"/>
              <w:rPr>
                <w:rFonts w:ascii="宋体" w:hAnsi="宋体" w:eastAsia="宋体" w:cs="宋体"/>
                <w:kern w:val="0"/>
                <w:sz w:val="24"/>
                <w:szCs w:val="24"/>
              </w:rPr>
            </w:pPr>
            <w:r>
              <w:rPr>
                <w:rFonts w:hint="eastAsia" w:ascii="宋体" w:hAnsi="宋体" w:eastAsia="宋体" w:cs="宋体"/>
                <w:kern w:val="0"/>
                <w:sz w:val="20"/>
              </w:rPr>
              <w:t>纠正</w:t>
            </w:r>
          </w:p>
        </w:tc>
        <w:tc>
          <w:tcPr>
            <w:tcW w:w="649"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kern w:val="0"/>
                <w:sz w:val="20"/>
              </w:rPr>
            </w:pPr>
            <w:r>
              <w:rPr>
                <w:rFonts w:hint="eastAsia" w:ascii="宋体" w:hAnsi="宋体" w:eastAsia="宋体" w:cs="宋体"/>
                <w:kern w:val="0"/>
                <w:sz w:val="20"/>
              </w:rPr>
              <w:t>其他</w:t>
            </w:r>
          </w:p>
          <w:p>
            <w:pPr>
              <w:widowControl/>
              <w:jc w:val="center"/>
              <w:rPr>
                <w:rFonts w:ascii="宋体" w:hAnsi="宋体" w:eastAsia="宋体" w:cs="宋体"/>
                <w:kern w:val="0"/>
                <w:sz w:val="24"/>
                <w:szCs w:val="24"/>
              </w:rPr>
            </w:pPr>
            <w:r>
              <w:rPr>
                <w:rFonts w:hint="eastAsia" w:ascii="宋体" w:hAnsi="宋体" w:eastAsia="宋体" w:cs="宋体"/>
                <w:kern w:val="0"/>
                <w:sz w:val="20"/>
              </w:rPr>
              <w:t>结果</w:t>
            </w:r>
          </w:p>
        </w:tc>
        <w:tc>
          <w:tcPr>
            <w:tcW w:w="649"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kern w:val="0"/>
                <w:sz w:val="20"/>
              </w:rPr>
            </w:pPr>
            <w:r>
              <w:rPr>
                <w:rFonts w:hint="eastAsia" w:ascii="宋体" w:hAnsi="宋体" w:eastAsia="宋体" w:cs="宋体"/>
                <w:kern w:val="0"/>
                <w:sz w:val="20"/>
              </w:rPr>
              <w:t>尚未</w:t>
            </w:r>
          </w:p>
          <w:p>
            <w:pPr>
              <w:widowControl/>
              <w:jc w:val="center"/>
              <w:rPr>
                <w:rFonts w:ascii="宋体" w:hAnsi="宋体" w:eastAsia="宋体" w:cs="宋体"/>
                <w:kern w:val="0"/>
                <w:sz w:val="24"/>
                <w:szCs w:val="24"/>
              </w:rPr>
            </w:pPr>
            <w:r>
              <w:rPr>
                <w:rFonts w:hint="eastAsia" w:ascii="宋体" w:hAnsi="宋体" w:eastAsia="宋体" w:cs="宋体"/>
                <w:kern w:val="0"/>
                <w:sz w:val="20"/>
              </w:rPr>
              <w:t>审结</w:t>
            </w:r>
          </w:p>
        </w:tc>
        <w:tc>
          <w:tcPr>
            <w:tcW w:w="649"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rPr>
              <w:t>总计</w:t>
            </w:r>
          </w:p>
        </w:tc>
        <w:tc>
          <w:tcPr>
            <w:tcW w:w="3248" w:type="dxa"/>
            <w:gridSpan w:val="5"/>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rPr>
              <w:t>未经复议直接起诉</w:t>
            </w:r>
          </w:p>
        </w:tc>
        <w:tc>
          <w:tcPr>
            <w:tcW w:w="3255" w:type="dxa"/>
            <w:gridSpan w:val="5"/>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rPr>
              <w:t>复议后起诉</w:t>
            </w:r>
          </w:p>
        </w:tc>
      </w:tr>
      <w:tr>
        <w:tblPrEx>
          <w:tblCellMar>
            <w:top w:w="0" w:type="dxa"/>
            <w:left w:w="0" w:type="dxa"/>
            <w:bottom w:w="0" w:type="dxa"/>
            <w:right w:w="0" w:type="dxa"/>
          </w:tblCellMar>
        </w:tblPrEx>
        <w:tc>
          <w:tcPr>
            <w:tcW w:w="64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64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64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64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64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64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kern w:val="0"/>
                <w:sz w:val="20"/>
              </w:rPr>
            </w:pPr>
            <w:r>
              <w:rPr>
                <w:rFonts w:hint="eastAsia" w:ascii="宋体" w:hAnsi="宋体" w:eastAsia="宋体" w:cs="宋体"/>
                <w:kern w:val="0"/>
                <w:sz w:val="20"/>
              </w:rPr>
              <w:t>结果</w:t>
            </w:r>
          </w:p>
          <w:p>
            <w:pPr>
              <w:widowControl/>
              <w:jc w:val="center"/>
              <w:rPr>
                <w:rFonts w:ascii="宋体" w:hAnsi="宋体" w:eastAsia="宋体" w:cs="宋体"/>
                <w:kern w:val="0"/>
                <w:sz w:val="24"/>
                <w:szCs w:val="24"/>
              </w:rPr>
            </w:pPr>
            <w:r>
              <w:rPr>
                <w:rFonts w:hint="eastAsia" w:ascii="宋体" w:hAnsi="宋体" w:eastAsia="宋体" w:cs="宋体"/>
                <w:kern w:val="0"/>
                <w:sz w:val="20"/>
              </w:rPr>
              <w:t>维持</w:t>
            </w:r>
          </w:p>
        </w:tc>
        <w:tc>
          <w:tcPr>
            <w:tcW w:w="64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kern w:val="0"/>
                <w:sz w:val="20"/>
              </w:rPr>
            </w:pPr>
            <w:r>
              <w:rPr>
                <w:rFonts w:hint="eastAsia" w:ascii="宋体" w:hAnsi="宋体" w:eastAsia="宋体" w:cs="宋体"/>
                <w:kern w:val="0"/>
                <w:sz w:val="20"/>
              </w:rPr>
              <w:t>结果</w:t>
            </w:r>
          </w:p>
          <w:p>
            <w:pPr>
              <w:widowControl/>
              <w:jc w:val="center"/>
              <w:rPr>
                <w:rFonts w:ascii="宋体" w:hAnsi="宋体" w:eastAsia="宋体" w:cs="宋体"/>
                <w:kern w:val="0"/>
                <w:sz w:val="24"/>
                <w:szCs w:val="24"/>
              </w:rPr>
            </w:pPr>
            <w:r>
              <w:rPr>
                <w:rFonts w:hint="eastAsia" w:ascii="宋体" w:hAnsi="宋体" w:eastAsia="宋体" w:cs="宋体"/>
                <w:kern w:val="0"/>
                <w:sz w:val="20"/>
              </w:rPr>
              <w:t>纠正</w:t>
            </w:r>
          </w:p>
        </w:tc>
        <w:tc>
          <w:tcPr>
            <w:tcW w:w="6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kern w:val="0"/>
                <w:sz w:val="20"/>
              </w:rPr>
            </w:pPr>
            <w:r>
              <w:rPr>
                <w:rFonts w:hint="eastAsia" w:ascii="宋体" w:hAnsi="宋体" w:eastAsia="宋体" w:cs="宋体"/>
                <w:kern w:val="0"/>
                <w:sz w:val="20"/>
              </w:rPr>
              <w:t>其他</w:t>
            </w:r>
          </w:p>
          <w:p>
            <w:pPr>
              <w:widowControl/>
              <w:jc w:val="center"/>
              <w:rPr>
                <w:rFonts w:ascii="宋体" w:hAnsi="宋体" w:eastAsia="宋体" w:cs="宋体"/>
                <w:kern w:val="0"/>
                <w:sz w:val="24"/>
                <w:szCs w:val="24"/>
              </w:rPr>
            </w:pPr>
            <w:r>
              <w:rPr>
                <w:rFonts w:hint="eastAsia" w:ascii="宋体" w:hAnsi="宋体" w:eastAsia="宋体" w:cs="宋体"/>
                <w:kern w:val="0"/>
                <w:sz w:val="20"/>
              </w:rPr>
              <w:t>结果</w:t>
            </w:r>
          </w:p>
        </w:tc>
        <w:tc>
          <w:tcPr>
            <w:tcW w:w="6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kern w:val="0"/>
                <w:sz w:val="20"/>
              </w:rPr>
            </w:pPr>
            <w:r>
              <w:rPr>
                <w:rFonts w:hint="eastAsia" w:ascii="宋体" w:hAnsi="宋体" w:eastAsia="宋体" w:cs="宋体"/>
                <w:kern w:val="0"/>
                <w:sz w:val="20"/>
              </w:rPr>
              <w:t>尚未</w:t>
            </w:r>
          </w:p>
          <w:p>
            <w:pPr>
              <w:widowControl/>
              <w:jc w:val="center"/>
              <w:rPr>
                <w:rFonts w:ascii="宋体" w:hAnsi="宋体" w:eastAsia="宋体" w:cs="宋体"/>
                <w:kern w:val="0"/>
                <w:sz w:val="24"/>
                <w:szCs w:val="24"/>
              </w:rPr>
            </w:pPr>
            <w:r>
              <w:rPr>
                <w:rFonts w:hint="eastAsia" w:ascii="宋体" w:hAnsi="宋体" w:eastAsia="宋体" w:cs="宋体"/>
                <w:kern w:val="0"/>
                <w:sz w:val="20"/>
              </w:rPr>
              <w:t>审结</w:t>
            </w:r>
          </w:p>
        </w:tc>
        <w:tc>
          <w:tcPr>
            <w:tcW w:w="6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rPr>
              <w:t>总计</w:t>
            </w:r>
          </w:p>
        </w:tc>
        <w:tc>
          <w:tcPr>
            <w:tcW w:w="65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kern w:val="0"/>
                <w:sz w:val="20"/>
              </w:rPr>
            </w:pPr>
            <w:r>
              <w:rPr>
                <w:rFonts w:hint="eastAsia" w:ascii="宋体" w:hAnsi="宋体" w:eastAsia="宋体" w:cs="宋体"/>
                <w:kern w:val="0"/>
                <w:sz w:val="20"/>
              </w:rPr>
              <w:t>结果</w:t>
            </w:r>
          </w:p>
          <w:p>
            <w:pPr>
              <w:widowControl/>
              <w:jc w:val="center"/>
              <w:rPr>
                <w:rFonts w:ascii="宋体" w:hAnsi="宋体" w:eastAsia="宋体" w:cs="宋体"/>
                <w:kern w:val="0"/>
                <w:sz w:val="24"/>
                <w:szCs w:val="24"/>
              </w:rPr>
            </w:pPr>
            <w:r>
              <w:rPr>
                <w:rFonts w:hint="eastAsia" w:ascii="宋体" w:hAnsi="宋体" w:eastAsia="宋体" w:cs="宋体"/>
                <w:kern w:val="0"/>
                <w:sz w:val="20"/>
              </w:rPr>
              <w:t>维持</w:t>
            </w:r>
          </w:p>
        </w:tc>
        <w:tc>
          <w:tcPr>
            <w:tcW w:w="65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kern w:val="0"/>
                <w:sz w:val="20"/>
              </w:rPr>
            </w:pPr>
            <w:r>
              <w:rPr>
                <w:rFonts w:hint="eastAsia" w:ascii="宋体" w:hAnsi="宋体" w:eastAsia="宋体" w:cs="宋体"/>
                <w:kern w:val="0"/>
                <w:sz w:val="20"/>
              </w:rPr>
              <w:t>结果</w:t>
            </w:r>
          </w:p>
          <w:p>
            <w:pPr>
              <w:widowControl/>
              <w:jc w:val="center"/>
              <w:rPr>
                <w:rFonts w:ascii="宋体" w:hAnsi="宋体" w:eastAsia="宋体" w:cs="宋体"/>
                <w:kern w:val="0"/>
                <w:sz w:val="24"/>
                <w:szCs w:val="24"/>
              </w:rPr>
            </w:pPr>
            <w:r>
              <w:rPr>
                <w:rFonts w:hint="eastAsia" w:ascii="宋体" w:hAnsi="宋体" w:eastAsia="宋体" w:cs="宋体"/>
                <w:kern w:val="0"/>
                <w:sz w:val="20"/>
              </w:rPr>
              <w:t>纠正</w:t>
            </w:r>
          </w:p>
        </w:tc>
        <w:tc>
          <w:tcPr>
            <w:tcW w:w="65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color w:val="000000"/>
                <w:kern w:val="0"/>
                <w:sz w:val="20"/>
              </w:rPr>
            </w:pPr>
            <w:r>
              <w:rPr>
                <w:rFonts w:hint="eastAsia" w:ascii="宋体" w:hAnsi="宋体" w:eastAsia="宋体" w:cs="宋体"/>
                <w:color w:val="000000"/>
                <w:kern w:val="0"/>
                <w:sz w:val="20"/>
              </w:rPr>
              <w:t>其他</w:t>
            </w:r>
          </w:p>
          <w:p>
            <w:pPr>
              <w:widowControl/>
              <w:jc w:val="center"/>
              <w:rPr>
                <w:rFonts w:ascii="宋体" w:hAnsi="宋体" w:eastAsia="宋体" w:cs="宋体"/>
                <w:kern w:val="0"/>
                <w:sz w:val="24"/>
                <w:szCs w:val="24"/>
              </w:rPr>
            </w:pPr>
            <w:r>
              <w:rPr>
                <w:rFonts w:hint="eastAsia" w:ascii="宋体" w:hAnsi="宋体" w:eastAsia="宋体" w:cs="宋体"/>
                <w:color w:val="000000"/>
                <w:kern w:val="0"/>
                <w:sz w:val="20"/>
              </w:rPr>
              <w:t>结果</w:t>
            </w:r>
          </w:p>
        </w:tc>
        <w:tc>
          <w:tcPr>
            <w:tcW w:w="65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kern w:val="0"/>
                <w:sz w:val="20"/>
              </w:rPr>
            </w:pPr>
            <w:r>
              <w:rPr>
                <w:rFonts w:hint="eastAsia" w:ascii="宋体" w:hAnsi="宋体" w:eastAsia="宋体" w:cs="宋体"/>
                <w:kern w:val="0"/>
                <w:sz w:val="20"/>
              </w:rPr>
              <w:t>尚未</w:t>
            </w:r>
          </w:p>
          <w:p>
            <w:pPr>
              <w:widowControl/>
              <w:jc w:val="center"/>
              <w:rPr>
                <w:rFonts w:ascii="宋体" w:hAnsi="宋体" w:eastAsia="宋体" w:cs="宋体"/>
                <w:kern w:val="0"/>
                <w:sz w:val="24"/>
                <w:szCs w:val="24"/>
              </w:rPr>
            </w:pPr>
            <w:r>
              <w:rPr>
                <w:rFonts w:hint="eastAsia" w:ascii="宋体" w:hAnsi="宋体" w:eastAsia="宋体" w:cs="宋体"/>
                <w:kern w:val="0"/>
                <w:sz w:val="20"/>
              </w:rPr>
              <w:t>审结</w:t>
            </w:r>
          </w:p>
        </w:tc>
        <w:tc>
          <w:tcPr>
            <w:tcW w:w="65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rPr>
              <w:t>总计</w:t>
            </w:r>
          </w:p>
        </w:tc>
      </w:tr>
      <w:tr>
        <w:tblPrEx>
          <w:tblCellMar>
            <w:top w:w="0" w:type="dxa"/>
            <w:left w:w="0" w:type="dxa"/>
            <w:bottom w:w="0" w:type="dxa"/>
            <w:right w:w="0" w:type="dxa"/>
          </w:tblCellMar>
        </w:tblPrEx>
        <w:trPr>
          <w:trHeight w:val="672" w:hRule="atLeast"/>
        </w:trPr>
        <w:tc>
          <w:tcPr>
            <w:tcW w:w="649"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rPr>
              <w:t> </w:t>
            </w:r>
          </w:p>
        </w:tc>
        <w:tc>
          <w:tcPr>
            <w:tcW w:w="649"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rPr>
              <w:t> </w:t>
            </w:r>
          </w:p>
        </w:tc>
        <w:tc>
          <w:tcPr>
            <w:tcW w:w="649"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rPr>
              <w:t> </w:t>
            </w:r>
          </w:p>
        </w:tc>
        <w:tc>
          <w:tcPr>
            <w:tcW w:w="649"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rPr>
              <w:t> </w:t>
            </w:r>
          </w:p>
        </w:tc>
        <w:tc>
          <w:tcPr>
            <w:tcW w:w="649"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rPr>
              <w:t> </w:t>
            </w:r>
          </w:p>
        </w:tc>
        <w:tc>
          <w:tcPr>
            <w:tcW w:w="649"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rPr>
              <w:t> </w:t>
            </w:r>
          </w:p>
        </w:tc>
        <w:tc>
          <w:tcPr>
            <w:tcW w:w="649"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rPr>
              <w:t> </w:t>
            </w:r>
          </w:p>
        </w:tc>
        <w:tc>
          <w:tcPr>
            <w:tcW w:w="650"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rPr>
              <w:t> </w:t>
            </w:r>
          </w:p>
        </w:tc>
        <w:tc>
          <w:tcPr>
            <w:tcW w:w="650"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rPr>
              <w:t> </w:t>
            </w:r>
          </w:p>
        </w:tc>
        <w:tc>
          <w:tcPr>
            <w:tcW w:w="650"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rPr>
              <w:t> </w:t>
            </w:r>
          </w:p>
        </w:tc>
        <w:tc>
          <w:tcPr>
            <w:tcW w:w="651"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rPr>
              <w:t> </w:t>
            </w:r>
          </w:p>
        </w:tc>
        <w:tc>
          <w:tcPr>
            <w:tcW w:w="651"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rPr>
              <w:t> </w:t>
            </w:r>
          </w:p>
        </w:tc>
        <w:tc>
          <w:tcPr>
            <w:tcW w:w="651"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rPr>
              <w:t> </w:t>
            </w:r>
          </w:p>
        </w:tc>
        <w:tc>
          <w:tcPr>
            <w:tcW w:w="651"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rPr>
              <w:t> </w:t>
            </w:r>
          </w:p>
        </w:tc>
        <w:tc>
          <w:tcPr>
            <w:tcW w:w="651"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p>
        </w:tc>
      </w:tr>
    </w:tbl>
    <w:p>
      <w:pPr>
        <w:overflowPunct w:val="0"/>
        <w:autoSpaceDE w:val="0"/>
        <w:autoSpaceDN w:val="0"/>
        <w:adjustRightInd w:val="0"/>
        <w:snapToGrid w:val="0"/>
        <w:spacing w:line="600" w:lineRule="exact"/>
        <w:ind w:firstLine="640" w:firstLineChars="200"/>
        <w:rPr>
          <w:rFonts w:ascii="仿宋_GB2312" w:hAnsi="仿宋_GB2312" w:cs="仿宋_GB2312"/>
          <w:szCs w:val="32"/>
        </w:rPr>
      </w:pPr>
      <w:r>
        <w:rPr>
          <w:rFonts w:hint="eastAsia" w:ascii="仿宋_GB2312" w:hAnsi="仿宋_GB2312" w:cs="仿宋_GB2312"/>
          <w:szCs w:val="32"/>
          <w:lang w:val="en-US" w:eastAsia="zh-CN"/>
        </w:rPr>
        <w:t>2023</w:t>
      </w:r>
      <w:r>
        <w:rPr>
          <w:rFonts w:hint="eastAsia" w:ascii="仿宋_GB2312" w:hAnsi="仿宋_GB2312" w:cs="仿宋_GB2312"/>
          <w:szCs w:val="32"/>
        </w:rPr>
        <w:t>年市局本级及3个县局无政府信息公开行政复议、行政诉讼情况发生。</w:t>
      </w:r>
    </w:p>
    <w:p>
      <w:pPr>
        <w:overflowPunct w:val="0"/>
        <w:autoSpaceDE w:val="0"/>
        <w:autoSpaceDN w:val="0"/>
        <w:adjustRightInd w:val="0"/>
        <w:snapToGrid w:val="0"/>
        <w:spacing w:line="600" w:lineRule="exact"/>
        <w:ind w:firstLine="640" w:firstLineChars="200"/>
        <w:rPr>
          <w:rFonts w:ascii="黑体" w:hAnsi="黑体" w:eastAsia="黑体" w:cs="黑体"/>
          <w:szCs w:val="32"/>
        </w:rPr>
      </w:pPr>
      <w:r>
        <w:rPr>
          <w:rFonts w:hint="eastAsia" w:ascii="黑体" w:hAnsi="黑体" w:eastAsia="黑体" w:cs="黑体"/>
          <w:szCs w:val="32"/>
        </w:rPr>
        <w:t>五、存在的主要问题及改进情况</w:t>
      </w:r>
    </w:p>
    <w:p>
      <w:pPr>
        <w:overflowPunct w:val="0"/>
        <w:autoSpaceDE w:val="0"/>
        <w:autoSpaceDN w:val="0"/>
        <w:adjustRightInd w:val="0"/>
        <w:snapToGrid w:val="0"/>
        <w:spacing w:line="600" w:lineRule="exact"/>
        <w:ind w:firstLine="640" w:firstLineChars="200"/>
        <w:rPr>
          <w:rFonts w:ascii="仿宋_GB2312" w:hAnsi="仿宋_GB2312" w:cs="仿宋_GB2312"/>
          <w:szCs w:val="32"/>
        </w:rPr>
      </w:pPr>
      <w:r>
        <w:rPr>
          <w:rFonts w:hint="eastAsia" w:ascii="仿宋_GB2312" w:hAnsi="仿宋_GB2312" w:cs="仿宋_GB2312"/>
          <w:szCs w:val="32"/>
        </w:rPr>
        <w:t>202</w:t>
      </w:r>
      <w:r>
        <w:rPr>
          <w:rFonts w:ascii="仿宋_GB2312" w:hAnsi="仿宋_GB2312" w:cs="仿宋_GB2312"/>
          <w:szCs w:val="32"/>
        </w:rPr>
        <w:t>3</w:t>
      </w:r>
      <w:r>
        <w:rPr>
          <w:rFonts w:hint="eastAsia" w:ascii="仿宋_GB2312" w:hAnsi="仿宋_GB2312" w:cs="仿宋_GB2312"/>
          <w:szCs w:val="32"/>
        </w:rPr>
        <w:t>年，吴忠市局政府信息公开工作稳步推进的同时还存在一些问题：一是政府信息公开相关政策规定学习还不够及时，各项工作要求的掌握还不够清晰准确，开展工作的成效还不够显著。二是公开形式和渠道还不够多样化，运用新媒体平台的能力还不够强，信息公开的覆盖面还不够广；三是负责政府信息公开相关人员的能力水平较低，相关培训指导力度不足，开展工作的思路和工作举措还不能很好满足相关要求。</w:t>
      </w:r>
    </w:p>
    <w:p>
      <w:pPr>
        <w:overflowPunct w:val="0"/>
        <w:autoSpaceDE w:val="0"/>
        <w:autoSpaceDN w:val="0"/>
        <w:adjustRightInd w:val="0"/>
        <w:snapToGrid w:val="0"/>
        <w:spacing w:line="600" w:lineRule="exact"/>
        <w:ind w:firstLine="640" w:firstLineChars="200"/>
        <w:rPr>
          <w:rFonts w:ascii="仿宋_GB2312" w:hAnsi="仿宋_GB2312" w:cs="仿宋_GB2312"/>
          <w:szCs w:val="32"/>
        </w:rPr>
      </w:pPr>
      <w:r>
        <w:rPr>
          <w:rFonts w:hint="eastAsia" w:ascii="仿宋_GB2312" w:hAnsi="仿宋_GB2312" w:cs="仿宋_GB2312"/>
          <w:szCs w:val="32"/>
        </w:rPr>
        <w:t>202</w:t>
      </w:r>
      <w:r>
        <w:rPr>
          <w:rFonts w:ascii="仿宋_GB2312" w:hAnsi="仿宋_GB2312" w:cs="仿宋_GB2312"/>
          <w:szCs w:val="32"/>
        </w:rPr>
        <w:t>4</w:t>
      </w:r>
      <w:r>
        <w:rPr>
          <w:rFonts w:hint="eastAsia" w:ascii="仿宋_GB2312" w:hAnsi="仿宋_GB2312" w:cs="仿宋_GB2312"/>
          <w:szCs w:val="32"/>
        </w:rPr>
        <w:t>年，吴忠市气象局将认真贯彻落实宁夏气象局党组以及吴忠市委和政府相关部署要求，持续做好政府信息公开工作，主动、及时、全面公开各类政府信息，接受群众监督，服务吴忠市建设绿色发展先行市。进一步提高政府信息公开学习、培训、指导工作力度，全面提升负责信息公开相关人员的工作能力，健全完善相关制度和信息公开目录，使公民、法人或其他企业机构能够更加便捷地获得公开信息。</w:t>
      </w:r>
    </w:p>
    <w:p>
      <w:pPr>
        <w:overflowPunct w:val="0"/>
        <w:autoSpaceDE w:val="0"/>
        <w:autoSpaceDN w:val="0"/>
        <w:adjustRightInd w:val="0"/>
        <w:snapToGrid w:val="0"/>
        <w:spacing w:line="600" w:lineRule="exact"/>
        <w:ind w:firstLine="640" w:firstLineChars="200"/>
        <w:rPr>
          <w:rFonts w:ascii="黑体" w:hAnsi="黑体" w:eastAsia="黑体" w:cs="黑体"/>
          <w:szCs w:val="32"/>
        </w:rPr>
      </w:pPr>
      <w:r>
        <w:rPr>
          <w:rFonts w:hint="eastAsia" w:ascii="黑体" w:hAnsi="黑体" w:eastAsia="黑体" w:cs="黑体"/>
          <w:szCs w:val="32"/>
        </w:rPr>
        <w:t>六、其他需要报告的事项</w:t>
      </w:r>
    </w:p>
    <w:p>
      <w:pPr>
        <w:pStyle w:val="5"/>
        <w:widowControl/>
        <w:spacing w:beforeAutospacing="0" w:afterAutospacing="0" w:line="240" w:lineRule="auto"/>
        <w:ind w:firstLine="465"/>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color w:val="auto"/>
          <w:sz w:val="32"/>
          <w:szCs w:val="32"/>
        </w:rPr>
        <w:t>本报告的电子版可以在宁夏气象局政府网站（</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"http://nx.cma.gov.cn/" </w:instrText>
      </w:r>
      <w:r>
        <w:rPr>
          <w:rFonts w:hint="eastAsia" w:ascii="仿宋_GB2312" w:hAnsi="仿宋_GB2312" w:eastAsia="仿宋_GB2312" w:cs="仿宋_GB2312"/>
          <w:color w:val="auto"/>
          <w:sz w:val="32"/>
          <w:szCs w:val="32"/>
        </w:rPr>
        <w:fldChar w:fldCharType="separate"/>
      </w:r>
      <w:r>
        <w:rPr>
          <w:rStyle w:val="9"/>
          <w:rFonts w:hint="eastAsia" w:ascii="仿宋_GB2312" w:hAnsi="仿宋_GB2312" w:eastAsia="仿宋_GB2312" w:cs="仿宋_GB2312"/>
          <w:color w:val="auto"/>
          <w:sz w:val="32"/>
          <w:szCs w:val="32"/>
        </w:rPr>
        <w:t>http://nx.cma.gov.cn/</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）下载。如对本年度报告有任何疑问，请与宁夏气象局办公室联系（地址：</w:t>
      </w:r>
      <w:r>
        <w:rPr>
          <w:rFonts w:hint="eastAsia" w:ascii="仿宋_GB2312" w:hAnsi="仿宋_GB2312" w:eastAsia="仿宋_GB2312" w:cs="仿宋_GB2312"/>
          <w:color w:val="auto"/>
          <w:sz w:val="32"/>
          <w:szCs w:val="32"/>
          <w:lang w:val="en-US" w:eastAsia="zh-CN"/>
        </w:rPr>
        <w:t>宁夏</w:t>
      </w:r>
      <w:r>
        <w:rPr>
          <w:rFonts w:hint="eastAsia" w:ascii="仿宋_GB2312" w:hAnsi="仿宋_GB2312" w:eastAsia="仿宋_GB2312" w:cs="仿宋_GB2312"/>
          <w:color w:val="auto"/>
          <w:sz w:val="32"/>
          <w:szCs w:val="32"/>
        </w:rPr>
        <w:t>银川市金凤区新昌西路71号；邮编：750001；联系电话：0951-50298</w:t>
      </w:r>
      <w:r>
        <w:rPr>
          <w:rFonts w:hint="eastAsia" w:ascii="仿宋_GB2312" w:hAnsi="仿宋_GB2312" w:eastAsia="仿宋_GB2312" w:cs="仿宋_GB2312"/>
          <w:color w:val="auto"/>
          <w:sz w:val="32"/>
          <w:szCs w:val="32"/>
          <w:lang w:val="en-US" w:eastAsia="zh-CN"/>
        </w:rPr>
        <w:t>25</w:t>
      </w:r>
      <w:r>
        <w:rPr>
          <w:rFonts w:hint="eastAsia" w:ascii="仿宋_GB2312" w:hAnsi="仿宋_GB2312" w:eastAsia="仿宋_GB2312" w:cs="仿宋_GB2312"/>
          <w:color w:val="auto"/>
          <w:sz w:val="32"/>
          <w:szCs w:val="32"/>
        </w:rPr>
        <w:t>）。</w:t>
      </w:r>
    </w:p>
    <w:p>
      <w:pPr>
        <w:overflowPunct w:val="0"/>
        <w:autoSpaceDE w:val="0"/>
        <w:autoSpaceDN w:val="0"/>
        <w:adjustRightInd w:val="0"/>
        <w:snapToGrid w:val="0"/>
        <w:spacing w:line="600" w:lineRule="exact"/>
        <w:rPr>
          <w:rFonts w:ascii="仿宋_GB2312" w:hAnsi="宋体" w:cs="宋体"/>
          <w:kern w:val="0"/>
          <w:szCs w:val="32"/>
        </w:rPr>
      </w:pPr>
      <w:bookmarkStart w:id="0" w:name="_GoBack"/>
      <w:bookmarkEnd w:id="0"/>
    </w:p>
    <w:p>
      <w:pPr>
        <w:overflowPunct w:val="0"/>
        <w:adjustRightInd w:val="0"/>
        <w:snapToGrid w:val="0"/>
        <w:spacing w:line="600" w:lineRule="exact"/>
        <w:rPr>
          <w:rFonts w:ascii="宋体" w:hAnsi="宋体" w:eastAsia="宋体" w:cs="宋体"/>
          <w:sz w:val="24"/>
          <w:szCs w:val="24"/>
        </w:rPr>
      </w:pPr>
    </w:p>
    <w:p>
      <w:pPr>
        <w:overflowPunct w:val="0"/>
        <w:adjustRightInd w:val="0"/>
        <w:snapToGrid w:val="0"/>
        <w:spacing w:line="600" w:lineRule="exact"/>
        <w:rPr>
          <w:rFonts w:ascii="宋体" w:hAnsi="宋体" w:eastAsia="宋体" w:cs="宋体"/>
          <w:sz w:val="24"/>
          <w:szCs w:val="24"/>
        </w:rPr>
      </w:pPr>
    </w:p>
    <w:p>
      <w:pPr>
        <w:overflowPunct w:val="0"/>
        <w:adjustRightInd w:val="0"/>
        <w:snapToGrid w:val="0"/>
        <w:spacing w:line="600" w:lineRule="exact"/>
        <w:rPr>
          <w:rFonts w:ascii="宋体" w:hAnsi="宋体" w:eastAsia="宋体" w:cs="宋体"/>
          <w:sz w:val="24"/>
          <w:szCs w:val="24"/>
        </w:rPr>
      </w:pPr>
    </w:p>
    <w:p>
      <w:pPr>
        <w:overflowPunct w:val="0"/>
        <w:autoSpaceDE w:val="0"/>
        <w:autoSpaceDN w:val="0"/>
        <w:adjustRightInd w:val="0"/>
        <w:snapToGrid w:val="0"/>
        <w:spacing w:line="600" w:lineRule="exact"/>
        <w:rPr>
          <w:rFonts w:ascii="仿宋_GB2312" w:hAnsi="仿宋_GB2312" w:cs="仿宋_GB2312"/>
          <w:szCs w:val="32"/>
        </w:rPr>
      </w:pPr>
    </w:p>
    <w:p>
      <w:pPr>
        <w:overflowPunct w:val="0"/>
        <w:autoSpaceDE w:val="0"/>
        <w:autoSpaceDN w:val="0"/>
        <w:adjustRightInd w:val="0"/>
        <w:snapToGrid w:val="0"/>
        <w:spacing w:line="600" w:lineRule="exact"/>
        <w:rPr>
          <w:rFonts w:ascii="仿宋_GB2312" w:hAnsi="仿宋_GB2312" w:cs="仿宋_GB2312"/>
          <w:szCs w:val="32"/>
        </w:rPr>
      </w:pPr>
    </w:p>
    <w:p>
      <w:pPr>
        <w:overflowPunct w:val="0"/>
        <w:autoSpaceDE w:val="0"/>
        <w:autoSpaceDN w:val="0"/>
        <w:adjustRightInd w:val="0"/>
        <w:snapToGrid w:val="0"/>
        <w:spacing w:line="600" w:lineRule="exact"/>
        <w:rPr>
          <w:rFonts w:ascii="仿宋_GB2312" w:hAnsi="仿宋_GB2312" w:cs="仿宋_GB2312"/>
          <w:szCs w:val="32"/>
        </w:rPr>
      </w:pPr>
    </w:p>
    <w:p>
      <w:pPr>
        <w:overflowPunct w:val="0"/>
        <w:autoSpaceDE w:val="0"/>
        <w:autoSpaceDN w:val="0"/>
        <w:adjustRightInd w:val="0"/>
        <w:snapToGrid w:val="0"/>
        <w:spacing w:line="600" w:lineRule="exact"/>
        <w:rPr>
          <w:rFonts w:ascii="仿宋_GB2312" w:hAnsi="仿宋_GB2312" w:cs="仿宋_GB2312"/>
          <w:szCs w:val="32"/>
        </w:rPr>
      </w:pPr>
    </w:p>
    <w:p>
      <w:pPr>
        <w:overflowPunct w:val="0"/>
        <w:autoSpaceDE w:val="0"/>
        <w:autoSpaceDN w:val="0"/>
        <w:adjustRightInd w:val="0"/>
        <w:snapToGrid w:val="0"/>
        <w:spacing w:line="600" w:lineRule="exact"/>
        <w:rPr>
          <w:rFonts w:ascii="仿宋_GB2312" w:hAnsi="仿宋_GB2312" w:cs="仿宋_GB2312"/>
          <w:szCs w:val="32"/>
        </w:rPr>
      </w:pPr>
    </w:p>
    <w:p>
      <w:pPr>
        <w:overflowPunct w:val="0"/>
        <w:autoSpaceDE w:val="0"/>
        <w:autoSpaceDN w:val="0"/>
        <w:adjustRightInd w:val="0"/>
        <w:snapToGrid w:val="0"/>
        <w:spacing w:line="600" w:lineRule="exact"/>
        <w:ind w:firstLine="2240" w:firstLineChars="700"/>
        <w:rPr>
          <w:rFonts w:ascii="仿宋_GB2312" w:hAnsi="仿宋_GB2312" w:cs="仿宋_GB2312"/>
          <w:szCs w:val="32"/>
        </w:rPr>
      </w:pPr>
      <w:r>
        <w:rPr>
          <w:rFonts w:hint="eastAsia" w:ascii="仿宋_GB2312" w:hAnsi="仿宋_GB2312" w:cs="仿宋_GB2312"/>
          <w:szCs w:val="32"/>
        </w:rPr>
        <w:t>宁夏回族自治区吴忠市气象局</w:t>
      </w:r>
    </w:p>
    <w:p>
      <w:pPr>
        <w:overflowPunct w:val="0"/>
        <w:autoSpaceDE w:val="0"/>
        <w:autoSpaceDN w:val="0"/>
        <w:adjustRightInd w:val="0"/>
        <w:snapToGrid w:val="0"/>
        <w:spacing w:line="600" w:lineRule="exact"/>
        <w:ind w:firstLine="3520" w:firstLineChars="1100"/>
        <w:rPr>
          <w:rFonts w:ascii="仿宋_GB2312" w:hAnsi="仿宋_GB2312" w:cs="仿宋_GB2312"/>
          <w:szCs w:val="32"/>
        </w:rPr>
      </w:pPr>
      <w:r>
        <w:rPr>
          <w:rFonts w:hint="eastAsia" w:ascii="仿宋_GB2312" w:hAnsi="仿宋_GB2312" w:cs="仿宋_GB2312"/>
          <w:szCs w:val="32"/>
        </w:rPr>
        <w:t>202</w:t>
      </w:r>
      <w:r>
        <w:rPr>
          <w:rFonts w:ascii="仿宋_GB2312" w:hAnsi="仿宋_GB2312" w:cs="仿宋_GB2312"/>
          <w:szCs w:val="32"/>
        </w:rPr>
        <w:t>4</w:t>
      </w:r>
      <w:r>
        <w:rPr>
          <w:rFonts w:hint="eastAsia" w:ascii="仿宋_GB2312" w:hAnsi="仿宋_GB2312" w:cs="仿宋_GB2312"/>
          <w:szCs w:val="32"/>
        </w:rPr>
        <w:t>年1月</w:t>
      </w:r>
      <w:r>
        <w:rPr>
          <w:rFonts w:ascii="仿宋_GB2312" w:hAnsi="仿宋_GB2312" w:cs="仿宋_GB2312"/>
          <w:szCs w:val="32"/>
        </w:rPr>
        <w:t>10</w:t>
      </w:r>
      <w:r>
        <w:rPr>
          <w:rFonts w:hint="eastAsia" w:ascii="仿宋_GB2312" w:hAnsi="仿宋_GB2312" w:cs="仿宋_GB2312"/>
          <w:szCs w:val="32"/>
        </w:rPr>
        <w:t>日</w:t>
      </w:r>
    </w:p>
    <w:p>
      <w:pPr>
        <w:overflowPunct w:val="0"/>
        <w:autoSpaceDE w:val="0"/>
        <w:autoSpaceDN w:val="0"/>
        <w:adjustRightInd w:val="0"/>
        <w:snapToGrid w:val="0"/>
        <w:spacing w:line="600" w:lineRule="exact"/>
        <w:ind w:firstLine="640" w:firstLineChars="200"/>
        <w:rPr>
          <w:rFonts w:ascii="仿宋_GB2312" w:hAnsi="仿宋_GB2312" w:cs="仿宋_GB2312"/>
          <w:szCs w:val="32"/>
        </w:rPr>
      </w:pPr>
      <w:r>
        <w:rPr>
          <w:rFonts w:hint="eastAsia" w:ascii="仿宋_GB2312" w:hAnsi="宋体" w:cs="宋体"/>
          <w:kern w:val="0"/>
          <w:szCs w:val="32"/>
        </w:rPr>
        <w:t>（联系人：刘沛  联系电话：0953-2014672）</w:t>
      </w:r>
    </w:p>
    <w:sectPr>
      <w:pgSz w:w="11906" w:h="16838"/>
      <w:pgMar w:top="1587" w:right="1800" w:bottom="1587"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7"/>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VjZjIxZjBiODcyNTM2NWFmNDA1ODM5MzBlMjU2ZDMifQ=="/>
  </w:docVars>
  <w:rsids>
    <w:rsidRoot w:val="36612D8A"/>
    <w:rsid w:val="000248F4"/>
    <w:rsid w:val="0003015C"/>
    <w:rsid w:val="000C44F6"/>
    <w:rsid w:val="001110AF"/>
    <w:rsid w:val="00380304"/>
    <w:rsid w:val="003B2EF3"/>
    <w:rsid w:val="003B3027"/>
    <w:rsid w:val="004365A2"/>
    <w:rsid w:val="00491F23"/>
    <w:rsid w:val="004A5FC9"/>
    <w:rsid w:val="0057621F"/>
    <w:rsid w:val="00711DEF"/>
    <w:rsid w:val="00793175"/>
    <w:rsid w:val="00805EBA"/>
    <w:rsid w:val="008A1AF9"/>
    <w:rsid w:val="00910CD7"/>
    <w:rsid w:val="00914CD8"/>
    <w:rsid w:val="009157C4"/>
    <w:rsid w:val="00A15E68"/>
    <w:rsid w:val="00B257A9"/>
    <w:rsid w:val="00C76013"/>
    <w:rsid w:val="00CB7CB2"/>
    <w:rsid w:val="00D95F25"/>
    <w:rsid w:val="00DD4B19"/>
    <w:rsid w:val="00E465FB"/>
    <w:rsid w:val="00E672BD"/>
    <w:rsid w:val="00EA45DE"/>
    <w:rsid w:val="00F26035"/>
    <w:rsid w:val="06AF43F0"/>
    <w:rsid w:val="10A66465"/>
    <w:rsid w:val="1B352906"/>
    <w:rsid w:val="30F37CF7"/>
    <w:rsid w:val="36612D8A"/>
    <w:rsid w:val="45530676"/>
    <w:rsid w:val="46C31E6E"/>
    <w:rsid w:val="4AFF1B0B"/>
    <w:rsid w:val="4F440574"/>
    <w:rsid w:val="5CBD4FD8"/>
    <w:rsid w:val="62783C0B"/>
    <w:rsid w:val="641E6073"/>
    <w:rsid w:val="70EB56E1"/>
    <w:rsid w:val="7E4843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Calibri" w:hAnsi="Calibri" w:eastAsia="仿宋_GB2312" w:cs="Times New Roman"/>
      <w:kern w:val="2"/>
      <w:sz w:val="32"/>
      <w:lang w:val="en-US" w:eastAsia="zh-CN" w:bidi="ar-SA"/>
    </w:rPr>
  </w:style>
  <w:style w:type="paragraph" w:styleId="2">
    <w:name w:val="heading 1"/>
    <w:basedOn w:val="1"/>
    <w:next w:val="1"/>
    <w:qFormat/>
    <w:uiPriority w:val="0"/>
    <w:pPr>
      <w:keepNext/>
      <w:keepLines/>
      <w:spacing w:before="340" w:after="330" w:line="578" w:lineRule="atLeast"/>
      <w:outlineLvl w:val="0"/>
    </w:pPr>
    <w:rPr>
      <w:b/>
      <w:bCs/>
      <w:kern w:val="44"/>
      <w:sz w:val="44"/>
      <w:szCs w:val="44"/>
    </w:rPr>
  </w:style>
  <w:style w:type="character" w:default="1" w:styleId="7">
    <w:name w:val="Default Paragraph Font"/>
    <w:semiHidden/>
    <w:unhideWhenUsed/>
    <w:uiPriority w:val="1"/>
  </w:style>
  <w:style w:type="table" w:default="1" w:styleId="6">
    <w:name w:val="Normal Table"/>
    <w:autoRedefine/>
    <w:semiHidden/>
    <w:unhideWhenUsed/>
    <w:uiPriority w:val="99"/>
    <w:tblPr>
      <w:tblCellMar>
        <w:top w:w="0" w:type="dxa"/>
        <w:left w:w="108" w:type="dxa"/>
        <w:bottom w:w="0" w:type="dxa"/>
        <w:right w:w="108" w:type="dxa"/>
      </w:tblCellMar>
    </w:tblPr>
  </w:style>
  <w:style w:type="paragraph" w:styleId="3">
    <w:name w:val="footer"/>
    <w:basedOn w:val="1"/>
    <w:link w:val="11"/>
    <w:qFormat/>
    <w:uiPriority w:val="0"/>
    <w:pPr>
      <w:tabs>
        <w:tab w:val="center" w:pos="4153"/>
        <w:tab w:val="right" w:pos="8306"/>
      </w:tabs>
      <w:snapToGrid w:val="0"/>
      <w:spacing w:line="240" w:lineRule="atLeast"/>
      <w:jc w:val="left"/>
    </w:pPr>
    <w:rPr>
      <w:sz w:val="18"/>
      <w:szCs w:val="18"/>
    </w:rPr>
  </w:style>
  <w:style w:type="paragraph" w:styleId="4">
    <w:name w:val="header"/>
    <w:basedOn w:val="1"/>
    <w:link w:val="10"/>
    <w:autoRedefine/>
    <w:uiPriority w:val="0"/>
    <w:pPr>
      <w:tabs>
        <w:tab w:val="center" w:pos="4153"/>
        <w:tab w:val="right" w:pos="8306"/>
      </w:tabs>
      <w:snapToGrid w:val="0"/>
      <w:spacing w:line="240" w:lineRule="atLeast"/>
      <w:jc w:val="center"/>
    </w:pPr>
    <w:rPr>
      <w:sz w:val="18"/>
      <w:szCs w:val="18"/>
    </w:rPr>
  </w:style>
  <w:style w:type="paragraph" w:styleId="5">
    <w:name w:val="Normal (Web)"/>
    <w:basedOn w:val="1"/>
    <w:autoRedefine/>
    <w:unhideWhenUsed/>
    <w:uiPriority w:val="0"/>
    <w:pPr>
      <w:widowControl/>
      <w:spacing w:before="100" w:beforeAutospacing="1" w:after="100" w:afterAutospacing="1" w:line="240" w:lineRule="auto"/>
      <w:jc w:val="left"/>
    </w:pPr>
    <w:rPr>
      <w:rFonts w:ascii="宋体" w:hAnsi="宋体" w:eastAsia="宋体" w:cs="宋体"/>
      <w:kern w:val="0"/>
      <w:sz w:val="24"/>
      <w:szCs w:val="24"/>
    </w:rPr>
  </w:style>
  <w:style w:type="character" w:styleId="8">
    <w:name w:val="page number"/>
    <w:basedOn w:val="7"/>
    <w:uiPriority w:val="0"/>
  </w:style>
  <w:style w:type="character" w:styleId="9">
    <w:name w:val="Hyperlink"/>
    <w:autoRedefine/>
    <w:qFormat/>
    <w:uiPriority w:val="0"/>
    <w:rPr>
      <w:color w:val="0000FF"/>
      <w:u w:val="none"/>
    </w:rPr>
  </w:style>
  <w:style w:type="character" w:customStyle="1" w:styleId="10">
    <w:name w:val="页眉 字符"/>
    <w:basedOn w:val="7"/>
    <w:link w:val="4"/>
    <w:autoRedefine/>
    <w:qFormat/>
    <w:uiPriority w:val="0"/>
    <w:rPr>
      <w:rFonts w:ascii="Calibri" w:hAnsi="Calibri" w:eastAsia="仿宋_GB2312" w:cs="Times New Roman"/>
      <w:kern w:val="2"/>
      <w:sz w:val="18"/>
      <w:szCs w:val="18"/>
    </w:rPr>
  </w:style>
  <w:style w:type="character" w:customStyle="1" w:styleId="11">
    <w:name w:val="页脚 字符"/>
    <w:basedOn w:val="7"/>
    <w:link w:val="3"/>
    <w:autoRedefine/>
    <w:uiPriority w:val="0"/>
    <w:rPr>
      <w:rFonts w:ascii="Calibri" w:hAnsi="Calibri" w:eastAsia="仿宋_GB2312" w:cs="Times New Roman"/>
      <w:kern w:val="2"/>
      <w:sz w:val="18"/>
      <w:szCs w:val="18"/>
    </w:rPr>
  </w:style>
  <w:style w:type="paragraph" w:customStyle="1" w:styleId="12">
    <w:name w:val="Char Char Char Char Char Char Char Char Char1 Char Char Char Char Char Char Char Char Char Char Char Char Char Char Char Char Char Char Char Char Char Char"/>
    <w:basedOn w:val="2"/>
    <w:autoRedefine/>
    <w:uiPriority w:val="0"/>
    <w:pPr>
      <w:snapToGrid w:val="0"/>
      <w:spacing w:before="240" w:after="240" w:line="348" w:lineRule="auto"/>
    </w:pPr>
    <w:rPr>
      <w:rFonts w:ascii="Tahoma" w:hAnsi="Tahoma" w:eastAsia="宋体"/>
      <w:bCs w:val="0"/>
      <w:kern w:val="2"/>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388</Words>
  <Characters>2218</Characters>
  <Lines>18</Lines>
  <Paragraphs>5</Paragraphs>
  <TotalTime>0</TotalTime>
  <ScaleCrop>false</ScaleCrop>
  <LinksUpToDate>false</LinksUpToDate>
  <CharactersWithSpaces>2601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2022-01-26T08:49:00Z</dcterms:created>
  <dc:creator>牛斌</dc:creator>
  <cp:lastModifiedBy>杨婧</cp:lastModifiedBy>
  <dcterms:modified xsi:type="dcterms:W3CDTF">2024-01-16T06:25:43Z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1BBDB22E180B45CD96B727C773DD3C75</vt:lpwstr>
  </property>
</Properties>
</file>